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A47D6C" w14:textId="3A68B695" w:rsidR="004830F6" w:rsidRDefault="00D70F06">
      <w:pPr>
        <w:jc w:val="center"/>
        <w:rPr>
          <w:sz w:val="28"/>
          <w:szCs w:val="28"/>
        </w:rPr>
      </w:pPr>
      <w:r>
        <w:rPr>
          <w:rFonts w:ascii="Aptos" w:eastAsia="Aptos" w:hAnsi="Aptos" w:cs="Aptos"/>
          <w:noProof/>
          <w:kern w:val="2"/>
          <w:szCs w:val="24"/>
          <w:lang w:eastAsia="en-US"/>
        </w:rPr>
        <w:drawing>
          <wp:inline distT="0" distB="0" distL="0" distR="0" wp14:anchorId="2428CB86" wp14:editId="039D5C64">
            <wp:extent cx="1577340" cy="1066800"/>
            <wp:effectExtent l="0" t="0" r="0" b="0"/>
            <wp:docPr id="9" name="Picture 1" descr="&quot;Dignity Alliance Massachusetts logo featuring stylized text and graphic&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quot;Dignity Alliance Massachusetts logo featuring stylized text and graphic&quot; "/>
                    <pic:cNvPicPr>
                      <a:picLocks noChangeAspect="1" noChangeArrowheads="1"/>
                    </pic:cNvPicPr>
                  </pic:nvPicPr>
                  <pic:blipFill>
                    <a:blip r:embed="rId5">
                      <a:extLst>
                        <a:ext uri="{28A0092B-C50C-407E-A947-70E740481C1C}">
                          <a14:useLocalDpi xmlns:a14="http://schemas.microsoft.com/office/drawing/2010/main" val="0"/>
                        </a:ext>
                      </a:extLst>
                    </a:blip>
                    <a:srcRect l="-40" t="-60" r="-40" b="-60"/>
                    <a:stretch>
                      <a:fillRect/>
                    </a:stretch>
                  </pic:blipFill>
                  <pic:spPr bwMode="auto">
                    <a:xfrm>
                      <a:off x="0" y="0"/>
                      <a:ext cx="1577340" cy="1066800"/>
                    </a:xfrm>
                    <a:prstGeom prst="rect">
                      <a:avLst/>
                    </a:prstGeom>
                    <a:solidFill>
                      <a:srgbClr val="FFFFFF"/>
                    </a:solidFill>
                    <a:ln>
                      <a:noFill/>
                    </a:ln>
                  </pic:spPr>
                </pic:pic>
              </a:graphicData>
            </a:graphic>
          </wp:inline>
        </w:drawing>
      </w:r>
    </w:p>
    <w:p w14:paraId="066C4558" w14:textId="77777777" w:rsidR="004830F6" w:rsidRPr="00A21757" w:rsidRDefault="004830F6">
      <w:pPr>
        <w:rPr>
          <w:rFonts w:ascii="Aptos" w:hAnsi="Aptos"/>
          <w:b/>
          <w:sz w:val="32"/>
          <w:szCs w:val="32"/>
        </w:rPr>
      </w:pPr>
    </w:p>
    <w:p w14:paraId="02AD01C9" w14:textId="77777777" w:rsidR="004830F6" w:rsidRPr="00A21757" w:rsidRDefault="004830F6" w:rsidP="00A21757">
      <w:pPr>
        <w:pStyle w:val="Heading1"/>
        <w:numPr>
          <w:ilvl w:val="0"/>
          <w:numId w:val="0"/>
        </w:numPr>
        <w:ind w:left="720" w:hanging="720"/>
        <w:jc w:val="center"/>
        <w:rPr>
          <w:rFonts w:ascii="Aptos" w:hAnsi="Aptos"/>
          <w:b/>
          <w:bCs w:val="0"/>
          <w:sz w:val="32"/>
          <w:szCs w:val="32"/>
        </w:rPr>
      </w:pPr>
      <w:r w:rsidRPr="00A21757">
        <w:rPr>
          <w:rFonts w:ascii="Aptos" w:hAnsi="Aptos"/>
          <w:b/>
          <w:bCs w:val="0"/>
          <w:sz w:val="32"/>
          <w:szCs w:val="32"/>
        </w:rPr>
        <w:t>STATEMENT OF CONCERN</w:t>
      </w:r>
    </w:p>
    <w:p w14:paraId="422A3411" w14:textId="77777777" w:rsidR="004830F6" w:rsidRPr="00A21757" w:rsidRDefault="004830F6" w:rsidP="00A21757">
      <w:pPr>
        <w:jc w:val="center"/>
        <w:rPr>
          <w:rFonts w:asciiTheme="minorHAnsi" w:hAnsiTheme="minorHAnsi" w:cs="Aptos"/>
          <w:b/>
          <w:iCs/>
          <w:szCs w:val="24"/>
          <w:u w:val="single"/>
        </w:rPr>
      </w:pPr>
    </w:p>
    <w:p w14:paraId="681C44EB" w14:textId="0495C37D" w:rsidR="004830F6" w:rsidRPr="00A21757" w:rsidRDefault="004830F6" w:rsidP="00A21757">
      <w:pPr>
        <w:pStyle w:val="Heading2"/>
        <w:numPr>
          <w:ilvl w:val="0"/>
          <w:numId w:val="0"/>
        </w:numPr>
        <w:spacing w:after="100" w:afterAutospacing="1"/>
        <w:contextualSpacing/>
        <w:jc w:val="center"/>
        <w:rPr>
          <w:rFonts w:asciiTheme="minorHAnsi" w:hAnsiTheme="minorHAnsi"/>
          <w:b/>
          <w:bCs w:val="0"/>
        </w:rPr>
      </w:pPr>
      <w:r w:rsidRPr="00A21757">
        <w:rPr>
          <w:rFonts w:asciiTheme="minorHAnsi" w:hAnsiTheme="minorHAnsi"/>
          <w:b/>
          <w:bCs w:val="0"/>
        </w:rPr>
        <w:t>The Crisis of “Stuck” Hospital Patients:</w:t>
      </w:r>
    </w:p>
    <w:p w14:paraId="1F8CECED" w14:textId="77777777" w:rsidR="004830F6" w:rsidRPr="00A21757" w:rsidRDefault="00C4749F" w:rsidP="00A21757">
      <w:pPr>
        <w:pStyle w:val="Heading2"/>
        <w:numPr>
          <w:ilvl w:val="0"/>
          <w:numId w:val="0"/>
        </w:numPr>
        <w:spacing w:after="100" w:afterAutospacing="1"/>
        <w:contextualSpacing/>
        <w:jc w:val="center"/>
        <w:rPr>
          <w:rFonts w:asciiTheme="minorHAnsi" w:hAnsiTheme="minorHAnsi"/>
          <w:b/>
          <w:bCs w:val="0"/>
        </w:rPr>
      </w:pPr>
      <w:r w:rsidRPr="00A21757">
        <w:rPr>
          <w:rFonts w:asciiTheme="minorHAnsi" w:hAnsiTheme="minorHAnsi"/>
          <w:b/>
          <w:bCs w:val="0"/>
        </w:rPr>
        <w:t xml:space="preserve">Default </w:t>
      </w:r>
      <w:r w:rsidR="00096E5F" w:rsidRPr="00A21757">
        <w:rPr>
          <w:rFonts w:asciiTheme="minorHAnsi" w:hAnsiTheme="minorHAnsi"/>
          <w:b/>
          <w:bCs w:val="0"/>
        </w:rPr>
        <w:t xml:space="preserve">Surrogate Statute </w:t>
      </w:r>
      <w:r w:rsidR="004830F6" w:rsidRPr="00A21757">
        <w:rPr>
          <w:rFonts w:asciiTheme="minorHAnsi" w:hAnsiTheme="minorHAnsi"/>
          <w:b/>
          <w:bCs w:val="0"/>
        </w:rPr>
        <w:t>Bills Are Not the Answer</w:t>
      </w:r>
    </w:p>
    <w:p w14:paraId="7C69F5BE" w14:textId="77777777" w:rsidR="004830F6" w:rsidRDefault="004830F6">
      <w:pPr>
        <w:rPr>
          <w:rFonts w:ascii="Aptos" w:hAnsi="Aptos" w:cs="Aptos"/>
          <w:szCs w:val="24"/>
        </w:rPr>
      </w:pPr>
      <w:r>
        <w:rPr>
          <w:rFonts w:ascii="Aptos" w:hAnsi="Aptos" w:cs="Aptos"/>
          <w:b/>
          <w:bCs/>
          <w:szCs w:val="24"/>
        </w:rPr>
        <w:tab/>
      </w:r>
    </w:p>
    <w:p w14:paraId="08057C54" w14:textId="77777777" w:rsidR="004830F6" w:rsidRDefault="004830F6">
      <w:pPr>
        <w:ind w:firstLine="720"/>
        <w:rPr>
          <w:rFonts w:ascii="Aptos" w:hAnsi="Aptos" w:cs="Aptos"/>
          <w:szCs w:val="24"/>
        </w:rPr>
      </w:pPr>
      <w:r>
        <w:rPr>
          <w:rFonts w:ascii="Aptos" w:hAnsi="Aptos" w:cs="Aptos"/>
          <w:szCs w:val="24"/>
        </w:rPr>
        <w:t>Dignity Alliance Massachusetts calls upon the Administration and the Legislature to recognize and address the multi-faceted problems that are leading people to be unnecessarily “stuck” in hospital</w:t>
      </w:r>
      <w:r w:rsidR="00C4749F">
        <w:rPr>
          <w:rFonts w:ascii="Aptos" w:hAnsi="Aptos" w:cs="Aptos"/>
          <w:szCs w:val="24"/>
        </w:rPr>
        <w:t>s as they await discharge to a community-based setting, post-acute care facility, or a psychiatric unit</w:t>
      </w:r>
      <w:r>
        <w:rPr>
          <w:rFonts w:ascii="Aptos" w:hAnsi="Aptos" w:cs="Aptos"/>
          <w:szCs w:val="24"/>
        </w:rPr>
        <w:t xml:space="preserve">. </w:t>
      </w:r>
    </w:p>
    <w:p w14:paraId="557F5132" w14:textId="77777777" w:rsidR="004830F6" w:rsidRDefault="004830F6">
      <w:pPr>
        <w:ind w:firstLine="720"/>
        <w:rPr>
          <w:rFonts w:ascii="Aptos" w:hAnsi="Aptos" w:cs="Aptos"/>
          <w:szCs w:val="24"/>
        </w:rPr>
      </w:pPr>
    </w:p>
    <w:p w14:paraId="105ACB3A" w14:textId="77777777" w:rsidR="004830F6" w:rsidRDefault="004830F6">
      <w:pPr>
        <w:ind w:firstLine="720"/>
        <w:rPr>
          <w:rFonts w:ascii="Aptos" w:hAnsi="Aptos" w:cs="Aptos"/>
          <w:szCs w:val="24"/>
        </w:rPr>
      </w:pPr>
      <w:r>
        <w:rPr>
          <w:rFonts w:ascii="Aptos" w:hAnsi="Aptos" w:cs="Aptos"/>
          <w:szCs w:val="24"/>
        </w:rPr>
        <w:t xml:space="preserve">Dignity Alliance applauds the long-awaited official acknowledgement of the crisis in the recently released </w:t>
      </w:r>
      <w:hyperlink r:id="rId6" w:history="1">
        <w:r w:rsidRPr="002C2ABA">
          <w:rPr>
            <w:rStyle w:val="Hyperlink"/>
            <w:rFonts w:ascii="Aptos" w:hAnsi="Aptos" w:cs="Aptos"/>
            <w:szCs w:val="24"/>
          </w:rPr>
          <w:t>Department of Public Health</w:t>
        </w:r>
        <w:r w:rsidR="00C4749F" w:rsidRPr="002C2ABA">
          <w:rPr>
            <w:rStyle w:val="Hyperlink"/>
            <w:rFonts w:ascii="Aptos" w:hAnsi="Aptos" w:cs="Aptos"/>
            <w:szCs w:val="24"/>
          </w:rPr>
          <w:t xml:space="preserve"> (DPH)</w:t>
        </w:r>
        <w:r w:rsidR="002C2ABA" w:rsidRPr="002C2ABA">
          <w:rPr>
            <w:rStyle w:val="Hyperlink"/>
            <w:rFonts w:ascii="Aptos" w:hAnsi="Aptos" w:cs="Aptos"/>
            <w:szCs w:val="24"/>
          </w:rPr>
          <w:t xml:space="preserve"> </w:t>
        </w:r>
        <w:r w:rsidR="007457F7">
          <w:rPr>
            <w:rStyle w:val="Hyperlink"/>
            <w:rFonts w:ascii="Aptos" w:hAnsi="Aptos" w:cs="Aptos"/>
            <w:szCs w:val="24"/>
          </w:rPr>
          <w:t>R</w:t>
        </w:r>
        <w:r w:rsidR="002C2ABA" w:rsidRPr="002C2ABA">
          <w:rPr>
            <w:rStyle w:val="Hyperlink"/>
            <w:rFonts w:ascii="Aptos" w:hAnsi="Aptos" w:cs="Aptos"/>
            <w:szCs w:val="24"/>
          </w:rPr>
          <w:t>eport</w:t>
        </w:r>
      </w:hyperlink>
      <w:r w:rsidR="000C21DF">
        <w:rPr>
          <w:rFonts w:ascii="Aptos" w:hAnsi="Aptos" w:cs="Aptos"/>
          <w:szCs w:val="24"/>
        </w:rPr>
        <w:t>, issued pursuant to the provisions of Chapter 197 of the Acts of 2024</w:t>
      </w:r>
      <w:r w:rsidR="007457F7">
        <w:rPr>
          <w:rFonts w:ascii="Aptos" w:hAnsi="Aptos" w:cs="Aptos"/>
          <w:szCs w:val="24"/>
        </w:rPr>
        <w:t>.  This Statement of Concern focuses on only one issue raised in the DPH Report.  The Report urges a study of so-called Default Surrogate Statute bills, which give</w:t>
      </w:r>
      <w:r w:rsidR="00A64F25">
        <w:rPr>
          <w:rFonts w:ascii="Aptos" w:hAnsi="Aptos" w:cs="Aptos"/>
          <w:szCs w:val="24"/>
        </w:rPr>
        <w:t>s</w:t>
      </w:r>
      <w:r w:rsidR="007457F7">
        <w:rPr>
          <w:rFonts w:ascii="Aptos" w:hAnsi="Aptos" w:cs="Aptos"/>
          <w:szCs w:val="24"/>
        </w:rPr>
        <w:t xml:space="preserve"> rise to Dignity Alliance’s concerns. </w:t>
      </w:r>
    </w:p>
    <w:p w14:paraId="06331E4E" w14:textId="77777777" w:rsidR="004830F6" w:rsidRDefault="004830F6">
      <w:pPr>
        <w:ind w:firstLine="720"/>
        <w:rPr>
          <w:rFonts w:ascii="Aptos" w:hAnsi="Aptos" w:cs="Aptos"/>
          <w:szCs w:val="24"/>
        </w:rPr>
      </w:pPr>
    </w:p>
    <w:p w14:paraId="721E4C95" w14:textId="77777777" w:rsidR="004830F6" w:rsidRDefault="004830F6">
      <w:pPr>
        <w:ind w:firstLine="720"/>
        <w:rPr>
          <w:rFonts w:ascii="Aptos" w:hAnsi="Aptos" w:cs="Aptos"/>
          <w:szCs w:val="24"/>
        </w:rPr>
      </w:pPr>
      <w:r w:rsidRPr="000C21DF">
        <w:rPr>
          <w:rFonts w:ascii="Aptos" w:hAnsi="Aptos" w:cs="Aptos"/>
          <w:szCs w:val="24"/>
        </w:rPr>
        <w:t xml:space="preserve">Default Surrogate Statute bills are misguided and deeply flawed, and they </w:t>
      </w:r>
      <w:r w:rsidR="00A45E94" w:rsidRPr="000C21DF">
        <w:rPr>
          <w:rFonts w:ascii="Aptos" w:hAnsi="Aptos" w:cs="Aptos"/>
          <w:szCs w:val="24"/>
        </w:rPr>
        <w:t>do not substantially solve the multi-faceted problems causing the delay in discharge</w:t>
      </w:r>
      <w:r w:rsidR="00096E5F">
        <w:rPr>
          <w:rFonts w:ascii="Aptos" w:hAnsi="Aptos" w:cs="Aptos"/>
          <w:szCs w:val="24"/>
        </w:rPr>
        <w:t xml:space="preserve">. </w:t>
      </w:r>
    </w:p>
    <w:p w14:paraId="0F6CDD74" w14:textId="77777777" w:rsidR="00A45E94" w:rsidRDefault="00A45E94" w:rsidP="00A45E94">
      <w:pPr>
        <w:ind w:firstLine="720"/>
        <w:rPr>
          <w:rFonts w:ascii="Aptos" w:hAnsi="Aptos" w:cs="Aptos"/>
          <w:szCs w:val="24"/>
        </w:rPr>
      </w:pPr>
    </w:p>
    <w:p w14:paraId="5E785F37" w14:textId="77777777" w:rsidR="004830F6" w:rsidRDefault="004830F6">
      <w:pPr>
        <w:ind w:firstLine="720"/>
        <w:rPr>
          <w:rFonts w:ascii="Aptos" w:hAnsi="Aptos" w:cs="Aptos"/>
          <w:szCs w:val="24"/>
        </w:rPr>
      </w:pPr>
      <w:r>
        <w:rPr>
          <w:rFonts w:ascii="Aptos" w:hAnsi="Aptos" w:cs="Aptos"/>
          <w:szCs w:val="24"/>
        </w:rPr>
        <w:t xml:space="preserve">There is broad consensus </w:t>
      </w:r>
      <w:r w:rsidR="00C4749F">
        <w:rPr>
          <w:rFonts w:ascii="Aptos" w:hAnsi="Aptos" w:cs="Aptos"/>
          <w:szCs w:val="24"/>
        </w:rPr>
        <w:t>within the</w:t>
      </w:r>
      <w:r>
        <w:rPr>
          <w:rFonts w:ascii="Aptos" w:hAnsi="Aptos" w:cs="Aptos"/>
          <w:szCs w:val="24"/>
        </w:rPr>
        <w:t xml:space="preserve"> Dignity Alliance </w:t>
      </w:r>
      <w:r w:rsidR="00C4749F">
        <w:rPr>
          <w:rFonts w:ascii="Aptos" w:hAnsi="Aptos" w:cs="Aptos"/>
          <w:szCs w:val="24"/>
        </w:rPr>
        <w:t>that</w:t>
      </w:r>
      <w:r>
        <w:rPr>
          <w:rFonts w:ascii="Aptos" w:hAnsi="Aptos" w:cs="Aptos"/>
          <w:szCs w:val="24"/>
        </w:rPr>
        <w:t xml:space="preserve"> major factors contributing to this troubling </w:t>
      </w:r>
      <w:r w:rsidR="00C4749F">
        <w:rPr>
          <w:rFonts w:ascii="Aptos" w:hAnsi="Aptos" w:cs="Aptos"/>
          <w:szCs w:val="24"/>
        </w:rPr>
        <w:t xml:space="preserve">phenomenon include: </w:t>
      </w:r>
      <w:r>
        <w:rPr>
          <w:rFonts w:ascii="Aptos" w:hAnsi="Aptos" w:cs="Aptos"/>
          <w:szCs w:val="24"/>
        </w:rPr>
        <w:t xml:space="preserve"> </w:t>
      </w:r>
    </w:p>
    <w:p w14:paraId="4AE9A409" w14:textId="77777777" w:rsidR="004830F6" w:rsidRDefault="004830F6">
      <w:pPr>
        <w:rPr>
          <w:rFonts w:ascii="Aptos" w:hAnsi="Aptos" w:cs="Aptos"/>
          <w:szCs w:val="24"/>
        </w:rPr>
      </w:pPr>
    </w:p>
    <w:p w14:paraId="797D0421" w14:textId="77777777" w:rsidR="00E243F3" w:rsidRDefault="00E243F3" w:rsidP="00E243F3">
      <w:pPr>
        <w:pStyle w:val="ListParagraph"/>
        <w:numPr>
          <w:ilvl w:val="0"/>
          <w:numId w:val="12"/>
        </w:numPr>
        <w:rPr>
          <w:rFonts w:ascii="Aptos" w:hAnsi="Aptos" w:cs="Aptos"/>
          <w:szCs w:val="24"/>
        </w:rPr>
      </w:pPr>
      <w:r w:rsidRPr="00E243F3">
        <w:rPr>
          <w:rFonts w:ascii="Aptos" w:hAnsi="Aptos" w:cs="Aptos"/>
          <w:szCs w:val="24"/>
        </w:rPr>
        <w:t>Lack of available, appropriate, and accessible community-based services, supports, and settings as discharge options.</w:t>
      </w:r>
      <w:r>
        <w:rPr>
          <w:rFonts w:ascii="Aptos" w:hAnsi="Aptos" w:cs="Aptos"/>
          <w:szCs w:val="24"/>
        </w:rPr>
        <w:br/>
      </w:r>
    </w:p>
    <w:p w14:paraId="4C14673D" w14:textId="77777777" w:rsidR="00E243F3" w:rsidRDefault="00E243F3" w:rsidP="00E243F3">
      <w:pPr>
        <w:pStyle w:val="ListParagraph"/>
        <w:numPr>
          <w:ilvl w:val="0"/>
          <w:numId w:val="12"/>
        </w:numPr>
        <w:rPr>
          <w:rFonts w:ascii="Aptos" w:hAnsi="Aptos" w:cs="Aptos"/>
          <w:szCs w:val="24"/>
        </w:rPr>
      </w:pPr>
      <w:r w:rsidRPr="00E243F3">
        <w:rPr>
          <w:rFonts w:ascii="Aptos" w:hAnsi="Aptos" w:cs="Aptos"/>
          <w:szCs w:val="24"/>
        </w:rPr>
        <w:t xml:space="preserve">Misunderstandings about a person’s capacity to execute a health care proxy and/or consent, with or without support, to discharge arrangements. </w:t>
      </w:r>
      <w:r>
        <w:rPr>
          <w:rFonts w:ascii="Aptos" w:hAnsi="Aptos" w:cs="Aptos"/>
          <w:szCs w:val="24"/>
        </w:rPr>
        <w:br/>
      </w:r>
    </w:p>
    <w:p w14:paraId="45C975BD" w14:textId="77777777" w:rsidR="00E243F3" w:rsidRDefault="00E243F3" w:rsidP="00E243F3">
      <w:pPr>
        <w:pStyle w:val="ListParagraph"/>
        <w:numPr>
          <w:ilvl w:val="0"/>
          <w:numId w:val="12"/>
        </w:numPr>
        <w:rPr>
          <w:rFonts w:ascii="Aptos" w:hAnsi="Aptos" w:cs="Aptos"/>
          <w:szCs w:val="24"/>
        </w:rPr>
      </w:pPr>
      <w:r w:rsidRPr="00E243F3">
        <w:rPr>
          <w:rFonts w:ascii="Aptos" w:hAnsi="Aptos" w:cs="Aptos"/>
          <w:szCs w:val="24"/>
        </w:rPr>
        <w:t xml:space="preserve">Insurance complications, including excessively complex </w:t>
      </w:r>
      <w:proofErr w:type="spellStart"/>
      <w:r w:rsidRPr="00E243F3">
        <w:rPr>
          <w:rFonts w:ascii="Aptos" w:hAnsi="Aptos" w:cs="Aptos"/>
          <w:szCs w:val="24"/>
        </w:rPr>
        <w:t>MassHealth</w:t>
      </w:r>
      <w:proofErr w:type="spellEnd"/>
      <w:r w:rsidRPr="00E243F3">
        <w:rPr>
          <w:rFonts w:ascii="Aptos" w:hAnsi="Aptos" w:cs="Aptos"/>
          <w:szCs w:val="24"/>
        </w:rPr>
        <w:t xml:space="preserve"> rules, procedures, and practices; private insurance administrative barriers; and lack of secondary insurance. </w:t>
      </w:r>
      <w:r>
        <w:rPr>
          <w:rFonts w:ascii="Aptos" w:hAnsi="Aptos" w:cs="Aptos"/>
          <w:szCs w:val="24"/>
        </w:rPr>
        <w:br/>
      </w:r>
    </w:p>
    <w:p w14:paraId="5CB6A0AF" w14:textId="77777777" w:rsidR="00E243F3" w:rsidRDefault="00E243F3" w:rsidP="00E243F3">
      <w:pPr>
        <w:pStyle w:val="ListParagraph"/>
        <w:numPr>
          <w:ilvl w:val="0"/>
          <w:numId w:val="12"/>
        </w:numPr>
        <w:rPr>
          <w:rFonts w:ascii="Aptos" w:hAnsi="Aptos" w:cs="Aptos"/>
          <w:szCs w:val="24"/>
        </w:rPr>
      </w:pPr>
      <w:r w:rsidRPr="00E243F3">
        <w:rPr>
          <w:rFonts w:ascii="Aptos" w:hAnsi="Aptos" w:cs="Aptos"/>
          <w:szCs w:val="24"/>
        </w:rPr>
        <w:t xml:space="preserve">The need for specialized behavioral health/substance use disorder services.  </w:t>
      </w:r>
      <w:r>
        <w:rPr>
          <w:rFonts w:ascii="Aptos" w:hAnsi="Aptos" w:cs="Aptos"/>
          <w:szCs w:val="24"/>
        </w:rPr>
        <w:br/>
      </w:r>
    </w:p>
    <w:p w14:paraId="653F4F49" w14:textId="77777777" w:rsidR="00E243F3" w:rsidRDefault="00E243F3" w:rsidP="00E243F3">
      <w:pPr>
        <w:pStyle w:val="ListParagraph"/>
        <w:numPr>
          <w:ilvl w:val="0"/>
          <w:numId w:val="12"/>
        </w:numPr>
        <w:rPr>
          <w:rFonts w:ascii="Aptos" w:hAnsi="Aptos" w:cs="Aptos"/>
          <w:szCs w:val="24"/>
        </w:rPr>
      </w:pPr>
      <w:r w:rsidRPr="00E243F3">
        <w:rPr>
          <w:rFonts w:ascii="Aptos" w:hAnsi="Aptos" w:cs="Aptos"/>
          <w:szCs w:val="24"/>
        </w:rPr>
        <w:t xml:space="preserve">People with no existing health care proxy, who might have capacity, but who have nobody available to serve as a health care agent. </w:t>
      </w:r>
      <w:r>
        <w:rPr>
          <w:rFonts w:ascii="Aptos" w:hAnsi="Aptos" w:cs="Aptos"/>
          <w:szCs w:val="24"/>
        </w:rPr>
        <w:br/>
      </w:r>
    </w:p>
    <w:p w14:paraId="48D18B12" w14:textId="77777777" w:rsidR="00E243F3" w:rsidRPr="00E243F3" w:rsidRDefault="00E243F3" w:rsidP="00E243F3">
      <w:pPr>
        <w:pStyle w:val="ListParagraph"/>
        <w:numPr>
          <w:ilvl w:val="0"/>
          <w:numId w:val="12"/>
        </w:numPr>
        <w:rPr>
          <w:rFonts w:ascii="Aptos" w:hAnsi="Aptos" w:cs="Aptos"/>
          <w:szCs w:val="24"/>
        </w:rPr>
      </w:pPr>
      <w:r w:rsidRPr="00E243F3">
        <w:rPr>
          <w:rFonts w:ascii="Aptos" w:hAnsi="Aptos" w:cs="Aptos"/>
          <w:szCs w:val="24"/>
        </w:rPr>
        <w:lastRenderedPageBreak/>
        <w:t xml:space="preserve">People with no existing health care proxy, and no current capacity to make healthcare decisions or execute a health care proxy, even with support and reasonable accommodations. </w:t>
      </w:r>
    </w:p>
    <w:p w14:paraId="2E4EBE86" w14:textId="77777777" w:rsidR="00A45E94" w:rsidRDefault="00A45E94">
      <w:pPr>
        <w:ind w:firstLine="720"/>
        <w:rPr>
          <w:rFonts w:ascii="Aptos" w:hAnsi="Aptos" w:cs="Aptos"/>
          <w:szCs w:val="24"/>
        </w:rPr>
      </w:pPr>
    </w:p>
    <w:p w14:paraId="1DEFD666" w14:textId="77777777" w:rsidR="004830F6" w:rsidRDefault="004830F6">
      <w:pPr>
        <w:ind w:firstLine="720"/>
        <w:rPr>
          <w:rFonts w:ascii="Aptos" w:hAnsi="Aptos" w:cs="Aptos"/>
          <w:szCs w:val="24"/>
        </w:rPr>
      </w:pPr>
      <w:r>
        <w:rPr>
          <w:rFonts w:ascii="Aptos" w:hAnsi="Aptos" w:cs="Aptos"/>
          <w:szCs w:val="24"/>
        </w:rPr>
        <w:t>Dignity Alliance urges policymakers to address all these factors</w:t>
      </w:r>
      <w:r w:rsidR="00096E5F">
        <w:rPr>
          <w:rFonts w:ascii="Aptos" w:hAnsi="Aptos" w:cs="Aptos"/>
          <w:szCs w:val="24"/>
        </w:rPr>
        <w:t>,</w:t>
      </w:r>
      <w:r w:rsidR="000C21DF">
        <w:rPr>
          <w:rFonts w:ascii="Aptos" w:hAnsi="Aptos" w:cs="Aptos"/>
          <w:szCs w:val="24"/>
        </w:rPr>
        <w:t xml:space="preserve"> and </w:t>
      </w:r>
      <w:r w:rsidR="00096E5F">
        <w:rPr>
          <w:rFonts w:ascii="Aptos" w:hAnsi="Aptos" w:cs="Aptos"/>
          <w:szCs w:val="24"/>
        </w:rPr>
        <w:t xml:space="preserve">it </w:t>
      </w:r>
      <w:r w:rsidR="000C21DF">
        <w:rPr>
          <w:rFonts w:ascii="Aptos" w:hAnsi="Aptos" w:cs="Aptos"/>
          <w:szCs w:val="24"/>
        </w:rPr>
        <w:t>is preparing additional statements of concern and proposed solutions for consideration. T</w:t>
      </w:r>
      <w:r w:rsidR="00A45E94">
        <w:rPr>
          <w:rFonts w:ascii="Aptos" w:hAnsi="Aptos" w:cs="Aptos"/>
          <w:szCs w:val="24"/>
        </w:rPr>
        <w:t>his</w:t>
      </w:r>
      <w:r>
        <w:rPr>
          <w:rFonts w:ascii="Aptos" w:hAnsi="Aptos" w:cs="Aptos"/>
          <w:szCs w:val="24"/>
        </w:rPr>
        <w:t xml:space="preserve"> Statement is focused on the last major factor as it relates to proposed Default Surrogate Statute legislation. </w:t>
      </w:r>
    </w:p>
    <w:p w14:paraId="1500D7FB" w14:textId="77777777" w:rsidR="004830F6" w:rsidRDefault="004830F6">
      <w:pPr>
        <w:ind w:firstLine="720"/>
        <w:rPr>
          <w:rFonts w:ascii="Aptos" w:hAnsi="Aptos" w:cs="Aptos"/>
          <w:szCs w:val="24"/>
        </w:rPr>
      </w:pPr>
    </w:p>
    <w:p w14:paraId="5C6A7240" w14:textId="77777777" w:rsidR="004830F6" w:rsidRDefault="004830F6">
      <w:pPr>
        <w:ind w:firstLine="720"/>
        <w:rPr>
          <w:rFonts w:ascii="Aptos" w:hAnsi="Aptos" w:cs="Aptos"/>
          <w:szCs w:val="24"/>
        </w:rPr>
      </w:pPr>
      <w:r>
        <w:rPr>
          <w:rFonts w:ascii="Aptos" w:hAnsi="Aptos" w:cs="Aptos"/>
          <w:szCs w:val="24"/>
        </w:rPr>
        <w:t xml:space="preserve">People considered “stuck” in hospitals still have legal and fundamental constitutional rights, which Default Surrogate Statute bills seek to abrogate. They short circuit statutory provisions and Probate and Family Court rules and procedures designed to protect people from losing their decision-making rights and control over their own lives without due process. Even a court appointed guardian is required to get the Court’s approval before arranging an incapacitated person’s admission to a nursing home. See </w:t>
      </w:r>
      <w:hyperlink r:id="rId7" w:history="1">
        <w:r>
          <w:rPr>
            <w:rStyle w:val="Hyperlink"/>
            <w:rFonts w:ascii="Aptos" w:hAnsi="Aptos" w:cs="Aptos"/>
            <w:szCs w:val="24"/>
          </w:rPr>
          <w:t>M.G.L. c. 190B § 5-309</w:t>
        </w:r>
      </w:hyperlink>
      <w:r>
        <w:rPr>
          <w:rFonts w:ascii="Aptos" w:hAnsi="Aptos" w:cs="Aptos"/>
          <w:szCs w:val="24"/>
        </w:rPr>
        <w:t xml:space="preserve">. </w:t>
      </w:r>
    </w:p>
    <w:p w14:paraId="7AADF8AF" w14:textId="77777777" w:rsidR="004830F6" w:rsidRDefault="004830F6">
      <w:pPr>
        <w:ind w:firstLine="720"/>
        <w:rPr>
          <w:rFonts w:ascii="Aptos" w:hAnsi="Aptos" w:cs="Aptos"/>
          <w:szCs w:val="24"/>
        </w:rPr>
      </w:pPr>
    </w:p>
    <w:p w14:paraId="7F2A3FF1" w14:textId="77777777" w:rsidR="004830F6" w:rsidRDefault="004830F6">
      <w:pPr>
        <w:ind w:firstLine="720"/>
        <w:rPr>
          <w:rFonts w:ascii="Aptos" w:hAnsi="Aptos" w:cs="Aptos"/>
          <w:szCs w:val="24"/>
        </w:rPr>
      </w:pPr>
      <w:r>
        <w:rPr>
          <w:rFonts w:ascii="Aptos" w:hAnsi="Aptos" w:cs="Aptos"/>
          <w:szCs w:val="24"/>
        </w:rPr>
        <w:t xml:space="preserve">In its </w:t>
      </w:r>
      <w:r w:rsidR="000C21DF">
        <w:rPr>
          <w:rFonts w:ascii="Aptos" w:hAnsi="Aptos" w:cs="Aptos"/>
          <w:szCs w:val="24"/>
        </w:rPr>
        <w:t xml:space="preserve">Report’s </w:t>
      </w:r>
      <w:r>
        <w:rPr>
          <w:rFonts w:ascii="Aptos" w:hAnsi="Aptos" w:cs="Aptos"/>
          <w:szCs w:val="24"/>
        </w:rPr>
        <w:t xml:space="preserve">recommendations, DPH acknowledged the need for “further research and stakeholder engagement” before significant decisions were made. Dignity Alliance wants to participate in that study effort and calls for the intentional inclusion of people with disabilities, older adults, their advocates, and other impacted community members. During the COVID-19 pandemic, such voices were underrepresented in critical healthcare policy discussions, and that misguided and devastating error should not be repeated. </w:t>
      </w:r>
    </w:p>
    <w:p w14:paraId="12E3EFD3" w14:textId="77777777" w:rsidR="004830F6" w:rsidRDefault="004830F6">
      <w:pPr>
        <w:ind w:firstLine="720"/>
        <w:rPr>
          <w:rFonts w:ascii="Aptos" w:hAnsi="Aptos" w:cs="Aptos"/>
          <w:b/>
          <w:bCs/>
          <w:szCs w:val="24"/>
        </w:rPr>
      </w:pPr>
      <w:r>
        <w:rPr>
          <w:rFonts w:ascii="Aptos" w:hAnsi="Aptos" w:cs="Aptos"/>
          <w:szCs w:val="24"/>
        </w:rPr>
        <w:t xml:space="preserve"> </w:t>
      </w:r>
    </w:p>
    <w:p w14:paraId="4D741B16" w14:textId="77777777" w:rsidR="004830F6" w:rsidRDefault="004830F6">
      <w:pPr>
        <w:ind w:firstLine="720"/>
        <w:rPr>
          <w:rFonts w:ascii="Aptos" w:hAnsi="Aptos" w:cs="Aptos"/>
          <w:szCs w:val="24"/>
        </w:rPr>
      </w:pPr>
      <w:r w:rsidRPr="001B42F5">
        <w:rPr>
          <w:rFonts w:ascii="Aptos" w:hAnsi="Aptos" w:cs="Aptos"/>
          <w:szCs w:val="24"/>
        </w:rPr>
        <w:t xml:space="preserve">As an appropriate alternative to </w:t>
      </w:r>
      <w:r w:rsidR="001B42F5" w:rsidRPr="001B42F5">
        <w:rPr>
          <w:rFonts w:ascii="Aptos" w:hAnsi="Aptos" w:cs="Aptos"/>
          <w:szCs w:val="24"/>
        </w:rPr>
        <w:t>quickly</w:t>
      </w:r>
      <w:r w:rsidRPr="001B42F5">
        <w:rPr>
          <w:rFonts w:ascii="Aptos" w:hAnsi="Aptos" w:cs="Aptos"/>
          <w:szCs w:val="24"/>
        </w:rPr>
        <w:t xml:space="preserve"> </w:t>
      </w:r>
      <w:r w:rsidR="001B42F5" w:rsidRPr="001B42F5">
        <w:rPr>
          <w:rFonts w:ascii="Aptos" w:hAnsi="Aptos" w:cs="Aptos"/>
          <w:szCs w:val="24"/>
        </w:rPr>
        <w:t xml:space="preserve">begin to address </w:t>
      </w:r>
      <w:r w:rsidRPr="001B42F5">
        <w:rPr>
          <w:rFonts w:ascii="Aptos" w:hAnsi="Aptos" w:cs="Aptos"/>
          <w:szCs w:val="24"/>
        </w:rPr>
        <w:t>the “stuck” hospital patient challenge, Dignity</w:t>
      </w:r>
      <w:r w:rsidR="002C2ABA">
        <w:rPr>
          <w:rFonts w:ascii="Aptos" w:hAnsi="Aptos" w:cs="Aptos"/>
          <w:szCs w:val="24"/>
        </w:rPr>
        <w:t xml:space="preserve"> Alliance </w:t>
      </w:r>
      <w:r w:rsidRPr="001B42F5">
        <w:rPr>
          <w:rFonts w:ascii="Aptos" w:hAnsi="Aptos" w:cs="Aptos"/>
          <w:szCs w:val="24"/>
        </w:rPr>
        <w:t>urges policymakers to actively support passage of the Supported Decision-Making</w:t>
      </w:r>
      <w:r>
        <w:rPr>
          <w:rFonts w:ascii="Aptos" w:hAnsi="Aptos" w:cs="Aptos"/>
          <w:szCs w:val="24"/>
        </w:rPr>
        <w:t xml:space="preserve"> </w:t>
      </w:r>
      <w:r w:rsidR="00214302">
        <w:rPr>
          <w:rFonts w:ascii="Aptos" w:hAnsi="Aptos" w:cs="Aptos"/>
          <w:szCs w:val="24"/>
        </w:rPr>
        <w:t>B</w:t>
      </w:r>
      <w:r>
        <w:rPr>
          <w:rFonts w:ascii="Aptos" w:hAnsi="Aptos" w:cs="Aptos"/>
          <w:szCs w:val="24"/>
        </w:rPr>
        <w:t xml:space="preserve">ill, </w:t>
      </w:r>
      <w:hyperlink r:id="rId8" w:history="1">
        <w:r>
          <w:rPr>
            <w:rStyle w:val="Hyperlink"/>
            <w:rFonts w:ascii="Aptos" w:hAnsi="Aptos" w:cs="Aptos"/>
            <w:szCs w:val="24"/>
          </w:rPr>
          <w:t>H.</w:t>
        </w:r>
        <w:r w:rsidR="001B42F5">
          <w:rPr>
            <w:rStyle w:val="Hyperlink"/>
            <w:rFonts w:ascii="Aptos" w:hAnsi="Aptos" w:cs="Aptos"/>
            <w:szCs w:val="24"/>
          </w:rPr>
          <w:t xml:space="preserve"> </w:t>
        </w:r>
        <w:r>
          <w:rPr>
            <w:rStyle w:val="Hyperlink"/>
            <w:rFonts w:ascii="Aptos" w:hAnsi="Aptos" w:cs="Aptos"/>
            <w:szCs w:val="24"/>
          </w:rPr>
          <w:t>5644</w:t>
        </w:r>
      </w:hyperlink>
      <w:r>
        <w:rPr>
          <w:rFonts w:ascii="Aptos" w:hAnsi="Aptos" w:cs="Aptos"/>
          <w:szCs w:val="24"/>
        </w:rPr>
        <w:t xml:space="preserve">. The bill strengthens and advances the Commonwealth’s gold standard of personal decision-making with or without the support of others. Passage of the bill would have an immediate positive outcome for hospital patients who are able to make their own decisions with the support of people they trust. A patient’s Supported Decision-Making Agreement would help to foster a timely transition to an appropriate post-acute setting and avoid an unnecessary </w:t>
      </w:r>
      <w:r w:rsidR="001B42F5">
        <w:rPr>
          <w:rFonts w:ascii="Aptos" w:hAnsi="Aptos" w:cs="Aptos"/>
          <w:szCs w:val="24"/>
        </w:rPr>
        <w:t>g</w:t>
      </w:r>
      <w:r>
        <w:rPr>
          <w:rFonts w:ascii="Aptos" w:hAnsi="Aptos" w:cs="Aptos"/>
          <w:szCs w:val="24"/>
        </w:rPr>
        <w:t xml:space="preserve">uardianship. </w:t>
      </w:r>
    </w:p>
    <w:p w14:paraId="7A4005FD" w14:textId="77777777" w:rsidR="004830F6" w:rsidRDefault="004830F6">
      <w:pPr>
        <w:ind w:firstLine="720"/>
        <w:rPr>
          <w:rFonts w:ascii="Aptos" w:hAnsi="Aptos" w:cs="Aptos"/>
          <w:szCs w:val="24"/>
        </w:rPr>
      </w:pPr>
    </w:p>
    <w:p w14:paraId="0532A370" w14:textId="77777777" w:rsidR="004830F6" w:rsidRDefault="004830F6">
      <w:pPr>
        <w:ind w:firstLine="720"/>
        <w:rPr>
          <w:rFonts w:ascii="Aptos" w:hAnsi="Aptos" w:cs="Aptos"/>
          <w:szCs w:val="24"/>
        </w:rPr>
      </w:pPr>
      <w:r>
        <w:rPr>
          <w:rFonts w:ascii="Aptos" w:hAnsi="Aptos" w:cs="Aptos"/>
          <w:szCs w:val="24"/>
        </w:rPr>
        <w:t xml:space="preserve">Dignity Alliance is </w:t>
      </w:r>
      <w:r w:rsidR="001B42F5">
        <w:rPr>
          <w:rFonts w:ascii="Aptos" w:hAnsi="Aptos" w:cs="Aptos"/>
          <w:szCs w:val="24"/>
        </w:rPr>
        <w:t xml:space="preserve">ready and </w:t>
      </w:r>
      <w:r>
        <w:rPr>
          <w:rFonts w:ascii="Aptos" w:hAnsi="Aptos" w:cs="Aptos"/>
          <w:szCs w:val="24"/>
        </w:rPr>
        <w:t>prepared to participate in the effort to address these problems with effective remedies that respect and value choice, quality care, and community options.</w:t>
      </w:r>
    </w:p>
    <w:p w14:paraId="4C8F8379" w14:textId="77777777" w:rsidR="00A21757" w:rsidRDefault="00A21757">
      <w:pPr>
        <w:ind w:firstLine="720"/>
        <w:rPr>
          <w:rFonts w:ascii="Aptos" w:hAnsi="Aptos" w:cs="Apto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941"/>
        <w:gridCol w:w="2394"/>
      </w:tblGrid>
      <w:tr w:rsidR="008A16F2" w14:paraId="797EEF8D" w14:textId="77777777" w:rsidTr="008A16F2">
        <w:tc>
          <w:tcPr>
            <w:tcW w:w="2394" w:type="dxa"/>
          </w:tcPr>
          <w:p w14:paraId="473CAE64" w14:textId="04046747" w:rsidR="008A16F2" w:rsidRDefault="008A16F2" w:rsidP="00A21757">
            <w:pPr>
              <w:rPr>
                <w:rFonts w:ascii="Aptos" w:hAnsi="Aptos" w:cs="Aptos"/>
                <w:szCs w:val="24"/>
              </w:rPr>
            </w:pPr>
            <w:r>
              <w:rPr>
                <w:rFonts w:ascii="Aptos" w:hAnsi="Aptos" w:cs="Aptos"/>
                <w:szCs w:val="24"/>
              </w:rPr>
              <w:t>Contact:</w:t>
            </w:r>
          </w:p>
        </w:tc>
        <w:tc>
          <w:tcPr>
            <w:tcW w:w="2394" w:type="dxa"/>
          </w:tcPr>
          <w:p w14:paraId="7DFB1D9F" w14:textId="77777777" w:rsidR="008A16F2" w:rsidRDefault="008A16F2" w:rsidP="00A21757">
            <w:pPr>
              <w:rPr>
                <w:rFonts w:ascii="Aptos" w:hAnsi="Aptos" w:cs="Aptos"/>
                <w:szCs w:val="24"/>
              </w:rPr>
            </w:pPr>
          </w:p>
        </w:tc>
        <w:tc>
          <w:tcPr>
            <w:tcW w:w="2394" w:type="dxa"/>
          </w:tcPr>
          <w:p w14:paraId="25AC6129" w14:textId="77777777" w:rsidR="008A16F2" w:rsidRDefault="008A16F2" w:rsidP="00A21757">
            <w:pPr>
              <w:rPr>
                <w:rFonts w:ascii="Aptos" w:hAnsi="Aptos" w:cs="Aptos"/>
                <w:szCs w:val="24"/>
              </w:rPr>
            </w:pPr>
          </w:p>
        </w:tc>
      </w:tr>
      <w:tr w:rsidR="008A16F2" w14:paraId="1612EAB9" w14:textId="77777777" w:rsidTr="008A16F2">
        <w:tc>
          <w:tcPr>
            <w:tcW w:w="2394" w:type="dxa"/>
          </w:tcPr>
          <w:p w14:paraId="15B8F9AC" w14:textId="425A78BE" w:rsidR="008A16F2" w:rsidRDefault="008A16F2" w:rsidP="008A16F2">
            <w:pPr>
              <w:rPr>
                <w:rFonts w:ascii="Aptos" w:hAnsi="Aptos" w:cs="Aptos"/>
                <w:szCs w:val="24"/>
              </w:rPr>
            </w:pPr>
            <w:r w:rsidRPr="008A16F2">
              <w:rPr>
                <w:rFonts w:ascii="Aptos" w:hAnsi="Aptos" w:cs="Aptos"/>
                <w:szCs w:val="24"/>
              </w:rPr>
              <w:t>John J. Ford</w:t>
            </w:r>
          </w:p>
        </w:tc>
        <w:tc>
          <w:tcPr>
            <w:tcW w:w="2394" w:type="dxa"/>
          </w:tcPr>
          <w:p w14:paraId="744F024A" w14:textId="103DC6C4" w:rsidR="008A16F2" w:rsidRDefault="00E243F3" w:rsidP="00A21757">
            <w:pPr>
              <w:rPr>
                <w:rFonts w:ascii="Aptos" w:hAnsi="Aptos" w:cs="Aptos"/>
                <w:szCs w:val="24"/>
              </w:rPr>
            </w:pPr>
            <w:hyperlink r:id="rId9" w:history="1">
              <w:r w:rsidR="008A16F2" w:rsidRPr="002B6E04">
                <w:rPr>
                  <w:rStyle w:val="Hyperlink"/>
                  <w:rFonts w:ascii="Aptos" w:hAnsi="Aptos" w:cs="Aptos"/>
                  <w:szCs w:val="24"/>
                </w:rPr>
                <w:t>jford@njc-ma.org</w:t>
              </w:r>
            </w:hyperlink>
            <w:r w:rsidR="008A16F2">
              <w:rPr>
                <w:rFonts w:ascii="Aptos" w:hAnsi="Aptos" w:cs="Aptos"/>
                <w:szCs w:val="24"/>
              </w:rPr>
              <w:t xml:space="preserve"> </w:t>
            </w:r>
          </w:p>
        </w:tc>
        <w:tc>
          <w:tcPr>
            <w:tcW w:w="2394" w:type="dxa"/>
          </w:tcPr>
          <w:p w14:paraId="1617C3AD" w14:textId="13887ACD" w:rsidR="008A16F2" w:rsidRDefault="008A16F2" w:rsidP="00A21757">
            <w:pPr>
              <w:rPr>
                <w:rFonts w:ascii="Aptos" w:hAnsi="Aptos" w:cs="Aptos"/>
                <w:szCs w:val="24"/>
              </w:rPr>
            </w:pPr>
            <w:r w:rsidRPr="008A16F2">
              <w:rPr>
                <w:rFonts w:ascii="Aptos" w:hAnsi="Aptos" w:cs="Aptos"/>
                <w:szCs w:val="24"/>
              </w:rPr>
              <w:t>781-599-7730</w:t>
            </w:r>
          </w:p>
        </w:tc>
      </w:tr>
      <w:tr w:rsidR="008A16F2" w14:paraId="187434FA" w14:textId="77777777" w:rsidTr="008A16F2">
        <w:tc>
          <w:tcPr>
            <w:tcW w:w="2394" w:type="dxa"/>
          </w:tcPr>
          <w:p w14:paraId="6EC36CBB" w14:textId="34906F96" w:rsidR="008A16F2" w:rsidRDefault="008A16F2" w:rsidP="00A21757">
            <w:pPr>
              <w:rPr>
                <w:rFonts w:ascii="Aptos" w:hAnsi="Aptos" w:cs="Aptos"/>
                <w:szCs w:val="24"/>
              </w:rPr>
            </w:pPr>
            <w:r w:rsidRPr="008A16F2">
              <w:rPr>
                <w:rFonts w:ascii="Aptos" w:hAnsi="Aptos" w:cs="Aptos"/>
                <w:szCs w:val="24"/>
              </w:rPr>
              <w:t xml:space="preserve">Paul J. Lanzikos      </w:t>
            </w:r>
          </w:p>
        </w:tc>
        <w:tc>
          <w:tcPr>
            <w:tcW w:w="2394" w:type="dxa"/>
          </w:tcPr>
          <w:p w14:paraId="5A2F449B" w14:textId="45ECC2EF" w:rsidR="008A16F2" w:rsidRDefault="00E243F3" w:rsidP="00A21757">
            <w:pPr>
              <w:rPr>
                <w:rFonts w:ascii="Aptos" w:hAnsi="Aptos" w:cs="Aptos"/>
                <w:szCs w:val="24"/>
              </w:rPr>
            </w:pPr>
            <w:hyperlink r:id="rId10" w:history="1">
              <w:r w:rsidR="008A16F2" w:rsidRPr="002B6E04">
                <w:rPr>
                  <w:rStyle w:val="Hyperlink"/>
                  <w:rFonts w:ascii="Aptos" w:hAnsi="Aptos" w:cs="Aptos"/>
                  <w:szCs w:val="24"/>
                </w:rPr>
                <w:t>paul.lanzikos@gmail.com</w:t>
              </w:r>
            </w:hyperlink>
            <w:r w:rsidR="008A16F2">
              <w:rPr>
                <w:rFonts w:ascii="Aptos" w:hAnsi="Aptos" w:cs="Aptos"/>
                <w:szCs w:val="24"/>
              </w:rPr>
              <w:t xml:space="preserve"> </w:t>
            </w:r>
          </w:p>
        </w:tc>
        <w:tc>
          <w:tcPr>
            <w:tcW w:w="2394" w:type="dxa"/>
          </w:tcPr>
          <w:p w14:paraId="6267E61E" w14:textId="2E3BE248" w:rsidR="008A16F2" w:rsidRDefault="008A16F2" w:rsidP="00A21757">
            <w:pPr>
              <w:rPr>
                <w:rFonts w:ascii="Aptos" w:hAnsi="Aptos" w:cs="Aptos"/>
                <w:szCs w:val="24"/>
              </w:rPr>
            </w:pPr>
            <w:r w:rsidRPr="008A16F2">
              <w:rPr>
                <w:rFonts w:ascii="Aptos" w:hAnsi="Aptos" w:cs="Aptos"/>
                <w:szCs w:val="24"/>
              </w:rPr>
              <w:t>978-210-1331</w:t>
            </w:r>
          </w:p>
        </w:tc>
      </w:tr>
    </w:tbl>
    <w:tbl>
      <w:tblPr>
        <w:tblW w:w="0" w:type="auto"/>
        <w:tblLayout w:type="fixed"/>
        <w:tblLook w:val="0000" w:firstRow="0" w:lastRow="0" w:firstColumn="0" w:lastColumn="0" w:noHBand="0" w:noVBand="0"/>
      </w:tblPr>
      <w:tblGrid>
        <w:gridCol w:w="1440"/>
        <w:gridCol w:w="3883"/>
      </w:tblGrid>
      <w:tr w:rsidR="008A16F2" w14:paraId="482ED415" w14:textId="77777777" w:rsidTr="008A16F2">
        <w:trPr>
          <w:trHeight w:val="117"/>
        </w:trPr>
        <w:tc>
          <w:tcPr>
            <w:tcW w:w="1440" w:type="dxa"/>
          </w:tcPr>
          <w:p w14:paraId="6B890A10" w14:textId="6B97F9E8" w:rsidR="008A16F2" w:rsidRDefault="008A16F2"/>
        </w:tc>
        <w:tc>
          <w:tcPr>
            <w:tcW w:w="3883" w:type="dxa"/>
          </w:tcPr>
          <w:p w14:paraId="7A9F312F" w14:textId="6FDC84DD" w:rsidR="008A16F2" w:rsidRDefault="008A16F2"/>
        </w:tc>
      </w:tr>
    </w:tbl>
    <w:p w14:paraId="38DD7D9D" w14:textId="1A99974A" w:rsidR="004830F6" w:rsidRDefault="004830F6" w:rsidP="008A16F2">
      <w:pPr>
        <w:contextualSpacing/>
        <w:rPr>
          <w:rFonts w:ascii="Aptos" w:hAnsi="Aptos" w:cs="Aptos"/>
          <w:szCs w:val="24"/>
        </w:rPr>
      </w:pPr>
      <w:r>
        <w:rPr>
          <w:rFonts w:ascii="Aptos" w:hAnsi="Aptos" w:cs="Aptos"/>
          <w:szCs w:val="24"/>
        </w:rPr>
        <w:t>Issued: October 2</w:t>
      </w:r>
      <w:r w:rsidR="001B42F5">
        <w:rPr>
          <w:rFonts w:ascii="Aptos" w:hAnsi="Aptos" w:cs="Aptos"/>
          <w:szCs w:val="24"/>
        </w:rPr>
        <w:t>1</w:t>
      </w:r>
      <w:r>
        <w:rPr>
          <w:rFonts w:ascii="Aptos" w:hAnsi="Aptos" w:cs="Aptos"/>
          <w:szCs w:val="24"/>
        </w:rPr>
        <w:t xml:space="preserve">, 2026 </w:t>
      </w:r>
    </w:p>
    <w:p w14:paraId="114DAFC7" w14:textId="6C5D1A1D" w:rsidR="00E243F3" w:rsidRDefault="00E243F3" w:rsidP="008A16F2">
      <w:pPr>
        <w:contextualSpacing/>
      </w:pPr>
    </w:p>
    <w:p w14:paraId="1115431A" w14:textId="29D10C6E" w:rsidR="00E243F3" w:rsidRDefault="00E243F3" w:rsidP="008A16F2">
      <w:pPr>
        <w:contextualSpacing/>
      </w:pPr>
      <w:bookmarkStart w:id="0" w:name="_GoBack"/>
      <w:bookmarkEnd w:id="0"/>
    </w:p>
    <w:sectPr w:rsidR="00E243F3" w:rsidSect="00096E5F">
      <w:pgSz w:w="12240" w:h="15840"/>
      <w:pgMar w:top="1440" w:right="1440" w:bottom="108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pStyle w:val="Heading1"/>
      <w:lvlText w:val="%1."/>
      <w:lvlJc w:val="left"/>
      <w:pPr>
        <w:tabs>
          <w:tab w:val="num" w:pos="720"/>
        </w:tabs>
        <w:ind w:left="720" w:hanging="720"/>
      </w:pPr>
      <w:rPr>
        <w:rFonts w:hint="default"/>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pStyle w:val="Heading6"/>
      <w:lvlText w:val="(%6)"/>
      <w:lvlJc w:val="left"/>
      <w:pPr>
        <w:tabs>
          <w:tab w:val="num" w:pos="4320"/>
        </w:tabs>
        <w:ind w:left="4320" w:hanging="720"/>
      </w:pPr>
      <w:rPr>
        <w:rFonts w:hint="default"/>
        <w:vanish w:val="0"/>
        <w:u w:val="none"/>
      </w:rPr>
    </w:lvl>
    <w:lvl w:ilvl="6">
      <w:start w:val="1"/>
      <w:numFmt w:val="bullet"/>
      <w:pStyle w:val="Heading7"/>
      <w:lvlText w:val=""/>
      <w:lvlJc w:val="left"/>
      <w:pPr>
        <w:tabs>
          <w:tab w:val="num" w:pos="1440"/>
        </w:tabs>
        <w:ind w:left="1440" w:hanging="720"/>
      </w:pPr>
      <w:rPr>
        <w:rFonts w:ascii="Symbol" w:hAnsi="Symbol" w:cs="Symbol" w:hint="default"/>
        <w:vanish w:val="0"/>
        <w:u w:val="none"/>
      </w:rPr>
    </w:lvl>
    <w:lvl w:ilvl="7">
      <w:start w:val="1"/>
      <w:numFmt w:val="upperLetter"/>
      <w:pStyle w:val="Heading8"/>
      <w:lvlText w:val="%8."/>
      <w:lvlJc w:val="left"/>
      <w:pPr>
        <w:tabs>
          <w:tab w:val="num" w:pos="2160"/>
        </w:tabs>
        <w:ind w:left="2160" w:hanging="720"/>
      </w:pPr>
      <w:rPr>
        <w:rFonts w:hint="default"/>
        <w:vanish w:val="0"/>
        <w:u w:val="none"/>
      </w:rPr>
    </w:lvl>
    <w:lvl w:ilvl="8">
      <w:start w:val="1"/>
      <w:numFmt w:val="decimal"/>
      <w:pStyle w:val="Heading9"/>
      <w:lvlText w:val="%9."/>
      <w:lvlJc w:val="left"/>
      <w:pPr>
        <w:tabs>
          <w:tab w:val="num" w:pos="2880"/>
        </w:tabs>
        <w:ind w:left="2880" w:hanging="720"/>
      </w:pPr>
      <w:rPr>
        <w:rFonts w:hint="default"/>
        <w:vanish w:val="0"/>
        <w:u w:val="none"/>
      </w:rPr>
    </w:lvl>
  </w:abstractNum>
  <w:abstractNum w:abstractNumId="1" w15:restartNumberingAfterBreak="0">
    <w:nsid w:val="00000002"/>
    <w:multiLevelType w:val="singleLevel"/>
    <w:tmpl w:val="00000002"/>
    <w:name w:val="WW8Num1"/>
    <w:lvl w:ilvl="0">
      <w:start w:val="1"/>
      <w:numFmt w:val="decimal"/>
      <w:pStyle w:val="ListNumber5"/>
      <w:lvlText w:val="%1."/>
      <w:lvlJc w:val="left"/>
      <w:pPr>
        <w:tabs>
          <w:tab w:val="num" w:pos="1800"/>
        </w:tabs>
        <w:ind w:left="1800" w:hanging="360"/>
      </w:pPr>
    </w:lvl>
  </w:abstractNum>
  <w:abstractNum w:abstractNumId="2" w15:restartNumberingAfterBreak="0">
    <w:nsid w:val="00000003"/>
    <w:multiLevelType w:val="singleLevel"/>
    <w:tmpl w:val="00000003"/>
    <w:name w:val="WW8Num2"/>
    <w:lvl w:ilvl="0">
      <w:start w:val="1"/>
      <w:numFmt w:val="decimal"/>
      <w:pStyle w:val="ListNumber4"/>
      <w:lvlText w:val="%1."/>
      <w:lvlJc w:val="left"/>
      <w:pPr>
        <w:tabs>
          <w:tab w:val="num" w:pos="1440"/>
        </w:tabs>
        <w:ind w:left="1440" w:hanging="360"/>
      </w:pPr>
    </w:lvl>
  </w:abstractNum>
  <w:abstractNum w:abstractNumId="3" w15:restartNumberingAfterBreak="0">
    <w:nsid w:val="00000004"/>
    <w:multiLevelType w:val="singleLevel"/>
    <w:tmpl w:val="00000004"/>
    <w:name w:val="WW8Num3"/>
    <w:lvl w:ilvl="0">
      <w:start w:val="1"/>
      <w:numFmt w:val="decimal"/>
      <w:pStyle w:val="ListNumber3"/>
      <w:lvlText w:val="%1."/>
      <w:lvlJc w:val="left"/>
      <w:pPr>
        <w:tabs>
          <w:tab w:val="num" w:pos="1080"/>
        </w:tabs>
        <w:ind w:left="1080" w:hanging="360"/>
      </w:pPr>
    </w:lvl>
  </w:abstractNum>
  <w:abstractNum w:abstractNumId="4" w15:restartNumberingAfterBreak="0">
    <w:nsid w:val="00000005"/>
    <w:multiLevelType w:val="singleLevel"/>
    <w:tmpl w:val="00000005"/>
    <w:name w:val="WW8Num5"/>
    <w:lvl w:ilvl="0">
      <w:start w:val="1"/>
      <w:numFmt w:val="bullet"/>
      <w:pStyle w:val="ListBullet51"/>
      <w:lvlText w:val=""/>
      <w:lvlJc w:val="left"/>
      <w:pPr>
        <w:tabs>
          <w:tab w:val="num" w:pos="1800"/>
        </w:tabs>
        <w:ind w:left="1800" w:hanging="360"/>
      </w:pPr>
      <w:rPr>
        <w:rFonts w:ascii="Symbol" w:hAnsi="Symbol" w:cs="Symbol" w:hint="default"/>
      </w:rPr>
    </w:lvl>
  </w:abstractNum>
  <w:abstractNum w:abstractNumId="5" w15:restartNumberingAfterBreak="0">
    <w:nsid w:val="00000006"/>
    <w:multiLevelType w:val="singleLevel"/>
    <w:tmpl w:val="00000006"/>
    <w:name w:val="WW8Num6"/>
    <w:lvl w:ilvl="0">
      <w:start w:val="1"/>
      <w:numFmt w:val="bullet"/>
      <w:pStyle w:val="ListBullet41"/>
      <w:lvlText w:val=""/>
      <w:lvlJc w:val="left"/>
      <w:pPr>
        <w:tabs>
          <w:tab w:val="num" w:pos="1440"/>
        </w:tabs>
        <w:ind w:left="1440" w:hanging="360"/>
      </w:pPr>
      <w:rPr>
        <w:rFonts w:ascii="Symbol" w:hAnsi="Symbol" w:cs="Symbol" w:hint="default"/>
      </w:rPr>
    </w:lvl>
  </w:abstractNum>
  <w:abstractNum w:abstractNumId="6" w15:restartNumberingAfterBreak="0">
    <w:nsid w:val="00000007"/>
    <w:multiLevelType w:val="singleLevel"/>
    <w:tmpl w:val="00000007"/>
    <w:name w:val="WW8Num7"/>
    <w:lvl w:ilvl="0">
      <w:start w:val="1"/>
      <w:numFmt w:val="bullet"/>
      <w:pStyle w:val="ListBullet31"/>
      <w:lvlText w:val=""/>
      <w:lvlJc w:val="left"/>
      <w:pPr>
        <w:tabs>
          <w:tab w:val="num" w:pos="1080"/>
        </w:tabs>
        <w:ind w:left="1080" w:hanging="360"/>
      </w:pPr>
      <w:rPr>
        <w:rFonts w:ascii="Symbol" w:hAnsi="Symbol" w:cs="Symbol" w:hint="default"/>
      </w:rPr>
    </w:lvl>
  </w:abstractNum>
  <w:abstractNum w:abstractNumId="7" w15:restartNumberingAfterBreak="0">
    <w:nsid w:val="00000008"/>
    <w:multiLevelType w:val="singleLevel"/>
    <w:tmpl w:val="00000008"/>
    <w:name w:val="WW8Num8"/>
    <w:lvl w:ilvl="0">
      <w:start w:val="1"/>
      <w:numFmt w:val="bullet"/>
      <w:pStyle w:val="ListBullet21"/>
      <w:lvlText w:val=""/>
      <w:lvlJc w:val="left"/>
      <w:pPr>
        <w:tabs>
          <w:tab w:val="num" w:pos="720"/>
        </w:tabs>
        <w:ind w:left="720" w:hanging="360"/>
      </w:pPr>
      <w:rPr>
        <w:rFonts w:ascii="Symbol" w:hAnsi="Symbol" w:cs="Symbol" w:hint="default"/>
      </w:rPr>
    </w:lvl>
  </w:abstractNum>
  <w:abstractNum w:abstractNumId="8" w15:restartNumberingAfterBreak="0">
    <w:nsid w:val="00000009"/>
    <w:multiLevelType w:val="singleLevel"/>
    <w:tmpl w:val="00000009"/>
    <w:name w:val="WW8Num10"/>
    <w:lvl w:ilvl="0">
      <w:start w:val="1"/>
      <w:numFmt w:val="bullet"/>
      <w:pStyle w:val="ListBullet"/>
      <w:lvlText w:val=""/>
      <w:lvlJc w:val="left"/>
      <w:pPr>
        <w:tabs>
          <w:tab w:val="num" w:pos="360"/>
        </w:tabs>
        <w:ind w:left="360" w:hanging="360"/>
      </w:pPr>
      <w:rPr>
        <w:rFonts w:ascii="Symbol" w:hAnsi="Symbol" w:cs="Symbol" w:hint="default"/>
      </w:rPr>
    </w:lvl>
  </w:abstractNum>
  <w:abstractNum w:abstractNumId="9" w15:restartNumberingAfterBreak="0">
    <w:nsid w:val="0000000A"/>
    <w:multiLevelType w:val="multilevel"/>
    <w:tmpl w:val="0000000A"/>
    <w:name w:val="WW8Num16"/>
    <w:lvl w:ilvl="0">
      <w:start w:val="1"/>
      <w:numFmt w:val="decimal"/>
      <w:pStyle w:val="ListNumber"/>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3C3430B"/>
    <w:multiLevelType w:val="hybridMultilevel"/>
    <w:tmpl w:val="CA90A732"/>
    <w:lvl w:ilvl="0" w:tplc="00F4CE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7C1BFC"/>
    <w:multiLevelType w:val="hybridMultilevel"/>
    <w:tmpl w:val="6DF6048C"/>
    <w:lvl w:ilvl="0" w:tplc="00F4CE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A97411"/>
    <w:multiLevelType w:val="hybridMultilevel"/>
    <w:tmpl w:val="133890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2"/>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8D5"/>
    <w:rsid w:val="00096E5F"/>
    <w:rsid w:val="000C21DF"/>
    <w:rsid w:val="001B42F5"/>
    <w:rsid w:val="00214302"/>
    <w:rsid w:val="002C2ABA"/>
    <w:rsid w:val="003838D5"/>
    <w:rsid w:val="004830F6"/>
    <w:rsid w:val="007457F7"/>
    <w:rsid w:val="0078560F"/>
    <w:rsid w:val="008A16F2"/>
    <w:rsid w:val="00A21757"/>
    <w:rsid w:val="00A45E94"/>
    <w:rsid w:val="00A64F25"/>
    <w:rsid w:val="00B61AD0"/>
    <w:rsid w:val="00C4749F"/>
    <w:rsid w:val="00D70F06"/>
    <w:rsid w:val="00E243F3"/>
    <w:rsid w:val="00E50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CFD4285"/>
  <w15:chartTrackingRefBased/>
  <w15:docId w15:val="{88D905F9-D793-4238-9FB4-48B9D9E2A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lang w:eastAsia="zh-CN"/>
    </w:rPr>
  </w:style>
  <w:style w:type="paragraph" w:styleId="Heading1">
    <w:name w:val="heading 1"/>
    <w:basedOn w:val="Normal"/>
    <w:next w:val="BodyText"/>
    <w:qFormat/>
    <w:pPr>
      <w:keepNext/>
      <w:numPr>
        <w:numId w:val="1"/>
      </w:numPr>
      <w:spacing w:after="240"/>
      <w:outlineLvl w:val="0"/>
    </w:pPr>
    <w:rPr>
      <w:rFonts w:cs="Arial"/>
      <w:bCs/>
      <w:kern w:val="2"/>
    </w:rPr>
  </w:style>
  <w:style w:type="paragraph" w:styleId="Heading2">
    <w:name w:val="heading 2"/>
    <w:basedOn w:val="Normal"/>
    <w:next w:val="BodyText"/>
    <w:qFormat/>
    <w:pPr>
      <w:numPr>
        <w:ilvl w:val="1"/>
        <w:numId w:val="1"/>
      </w:numPr>
      <w:spacing w:after="240"/>
      <w:outlineLvl w:val="1"/>
    </w:pPr>
    <w:rPr>
      <w:rFonts w:cs="Arial"/>
      <w:bCs/>
      <w:iCs/>
      <w:kern w:val="2"/>
    </w:rPr>
  </w:style>
  <w:style w:type="paragraph" w:styleId="Heading3">
    <w:name w:val="heading 3"/>
    <w:basedOn w:val="Normal"/>
    <w:next w:val="BodyText"/>
    <w:qFormat/>
    <w:pPr>
      <w:numPr>
        <w:ilvl w:val="2"/>
        <w:numId w:val="1"/>
      </w:numPr>
      <w:spacing w:after="240"/>
      <w:outlineLvl w:val="2"/>
    </w:pPr>
    <w:rPr>
      <w:rFonts w:cs="Arial"/>
      <w:bCs/>
      <w:kern w:val="2"/>
    </w:rPr>
  </w:style>
  <w:style w:type="paragraph" w:styleId="Heading4">
    <w:name w:val="heading 4"/>
    <w:basedOn w:val="Normal"/>
    <w:next w:val="BodyText"/>
    <w:qFormat/>
    <w:pPr>
      <w:numPr>
        <w:ilvl w:val="3"/>
        <w:numId w:val="1"/>
      </w:numPr>
      <w:spacing w:after="240"/>
      <w:outlineLvl w:val="3"/>
    </w:pPr>
    <w:rPr>
      <w:bCs/>
      <w:kern w:val="2"/>
    </w:rPr>
  </w:style>
  <w:style w:type="paragraph" w:styleId="Heading5">
    <w:name w:val="heading 5"/>
    <w:basedOn w:val="Normal"/>
    <w:next w:val="BodyText"/>
    <w:qFormat/>
    <w:pPr>
      <w:numPr>
        <w:ilvl w:val="4"/>
        <w:numId w:val="1"/>
      </w:numPr>
      <w:spacing w:after="240"/>
      <w:outlineLvl w:val="4"/>
    </w:pPr>
    <w:rPr>
      <w:bCs/>
      <w:iCs/>
      <w:kern w:val="2"/>
    </w:rPr>
  </w:style>
  <w:style w:type="paragraph" w:styleId="Heading6">
    <w:name w:val="heading 6"/>
    <w:basedOn w:val="Normal"/>
    <w:next w:val="BodyText"/>
    <w:qFormat/>
    <w:pPr>
      <w:numPr>
        <w:ilvl w:val="5"/>
        <w:numId w:val="1"/>
      </w:numPr>
      <w:spacing w:after="240"/>
      <w:outlineLvl w:val="5"/>
    </w:pPr>
    <w:rPr>
      <w:bCs/>
      <w:kern w:val="2"/>
    </w:rPr>
  </w:style>
  <w:style w:type="paragraph" w:styleId="Heading7">
    <w:name w:val="heading 7"/>
    <w:basedOn w:val="Normal"/>
    <w:next w:val="BodyText"/>
    <w:qFormat/>
    <w:pPr>
      <w:numPr>
        <w:ilvl w:val="6"/>
        <w:numId w:val="1"/>
      </w:numPr>
      <w:spacing w:after="240"/>
      <w:outlineLvl w:val="6"/>
    </w:pPr>
    <w:rPr>
      <w:kern w:val="2"/>
    </w:rPr>
  </w:style>
  <w:style w:type="paragraph" w:styleId="Heading8">
    <w:name w:val="heading 8"/>
    <w:basedOn w:val="Normal"/>
    <w:next w:val="BodyText"/>
    <w:qFormat/>
    <w:pPr>
      <w:numPr>
        <w:ilvl w:val="7"/>
        <w:numId w:val="1"/>
      </w:numPr>
      <w:spacing w:after="240"/>
      <w:outlineLvl w:val="7"/>
    </w:pPr>
    <w:rPr>
      <w:iCs/>
      <w:kern w:val="2"/>
    </w:rPr>
  </w:style>
  <w:style w:type="paragraph" w:styleId="Heading9">
    <w:name w:val="heading 9"/>
    <w:basedOn w:val="Normal"/>
    <w:next w:val="BodyText"/>
    <w:qFormat/>
    <w:pPr>
      <w:numPr>
        <w:ilvl w:val="8"/>
        <w:numId w:val="1"/>
      </w:numPr>
      <w:spacing w:after="240"/>
      <w:outlineLvl w:val="8"/>
    </w:pPr>
    <w:rPr>
      <w:rFonts w:cs="Arial"/>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7z0">
    <w:name w:val="WW8Num7z0"/>
    <w:rPr>
      <w:rFonts w:ascii="Symbol" w:hAnsi="Symbol" w:cs="Symbol" w:hint="default"/>
    </w:rPr>
  </w:style>
  <w:style w:type="character" w:customStyle="1" w:styleId="WW8Num8z0">
    <w:name w:val="WW8Num8z0"/>
    <w:rPr>
      <w:rFonts w:ascii="Symbol" w:hAnsi="Symbol" w:cs="Symbol" w:hint="default"/>
    </w:rPr>
  </w:style>
  <w:style w:type="character" w:customStyle="1" w:styleId="WW8Num10z0">
    <w:name w:val="WW8Num10z0"/>
    <w:rPr>
      <w:rFonts w:ascii="Symbol" w:hAnsi="Symbol" w:cs="Symbol" w:hint="default"/>
    </w:rPr>
  </w:style>
  <w:style w:type="character" w:customStyle="1" w:styleId="WW8Num11z0">
    <w:name w:val="WW8Num11z0"/>
    <w:rPr>
      <w:rFonts w:hint="default"/>
    </w:rPr>
  </w:style>
  <w:style w:type="character" w:customStyle="1" w:styleId="WW8Num12z0">
    <w:name w:val="WW8Num12z0"/>
    <w:rPr>
      <w:rFonts w:ascii="Symbol" w:hAnsi="Symbol" w:cs="Symbol" w:hint="default"/>
      <w:sz w:val="20"/>
    </w:rPr>
  </w:style>
  <w:style w:type="character" w:customStyle="1" w:styleId="WW8Num13z0">
    <w:name w:val="WW8Num13z0"/>
    <w:rPr>
      <w:rFonts w:ascii="Symbol" w:hAnsi="Symbol" w:cs="Symbol" w:hint="default"/>
      <w:sz w:val="20"/>
    </w:rPr>
  </w:style>
  <w:style w:type="character" w:customStyle="1" w:styleId="WW8Num14z0">
    <w:name w:val="WW8Num14z0"/>
    <w:rPr>
      <w:rFonts w:hint="default"/>
    </w:rPr>
  </w:style>
  <w:style w:type="character" w:customStyle="1" w:styleId="WW8Num15z0">
    <w:name w:val="WW8Num15z0"/>
    <w:rPr>
      <w:rFonts w:hint="default"/>
      <w:vanish w:val="0"/>
      <w:u w:val="none"/>
    </w:rPr>
  </w:style>
  <w:style w:type="character" w:customStyle="1" w:styleId="WW8Num15z2">
    <w:name w:val="WW8Num15z2"/>
    <w:rPr>
      <w:rFonts w:hint="default"/>
      <w:b w:val="0"/>
      <w:i w:val="0"/>
      <w:vanish w:val="0"/>
      <w:u w:val="none"/>
    </w:rPr>
  </w:style>
  <w:style w:type="character" w:customStyle="1" w:styleId="WW8Num15z6">
    <w:name w:val="WW8Num15z6"/>
    <w:rPr>
      <w:rFonts w:ascii="Symbol" w:hAnsi="Symbol" w:cs="Symbol" w:hint="default"/>
      <w:vanish w:val="0"/>
      <w:u w:val="none"/>
    </w:rPr>
  </w:style>
  <w:style w:type="character" w:customStyle="1" w:styleId="WW8Num16z0">
    <w:name w:val="WW8Num16z0"/>
    <w:rPr>
      <w:rFonts w:hint="default"/>
    </w:rPr>
  </w:style>
  <w:style w:type="character" w:customStyle="1" w:styleId="FootnoteCharacters">
    <w:name w:val="Footnote Characters"/>
    <w:rPr>
      <w:color w:val="000000"/>
      <w:position w:val="6"/>
      <w:sz w:val="18"/>
    </w:rPr>
  </w:style>
  <w:style w:type="character" w:styleId="CommentReference">
    <w:name w:val="annotation reference"/>
    <w:rPr>
      <w:rFonts w:ascii="Times New Roman" w:hAnsi="Times New Roman" w:cs="Times New Roman"/>
      <w:color w:val="FF0000"/>
      <w:sz w:val="16"/>
    </w:rPr>
  </w:style>
  <w:style w:type="character" w:styleId="Emphasis">
    <w:name w:val="Emphasis"/>
    <w:qFormat/>
    <w:rPr>
      <w:i/>
    </w:rPr>
  </w:style>
  <w:style w:type="character" w:customStyle="1" w:styleId="EndnoteCharacters">
    <w:name w:val="Endnote Characters"/>
    <w:rPr>
      <w:vertAlign w:val="superscript"/>
    </w:rPr>
  </w:style>
  <w:style w:type="character" w:styleId="FollowedHyperlink">
    <w:name w:val="FollowedHyperlink"/>
    <w:rPr>
      <w:color w:val="800080"/>
      <w:u w:val="single"/>
    </w:rPr>
  </w:style>
  <w:style w:type="character" w:styleId="Hyperlink">
    <w:name w:val="Hyperlink"/>
    <w:rPr>
      <w:color w:val="0000FF"/>
      <w:u w:val="single"/>
    </w:rPr>
  </w:style>
  <w:style w:type="character" w:styleId="LineNumber">
    <w:name w:val="line number"/>
    <w:basedOn w:val="DefaultParagraphFont"/>
  </w:style>
  <w:style w:type="character" w:styleId="PageNumber">
    <w:name w:val="page number"/>
    <w:rPr>
      <w:color w:val="000000"/>
      <w:sz w:val="24"/>
      <w:szCs w:val="24"/>
    </w:rPr>
  </w:style>
  <w:style w:type="character" w:styleId="Strong">
    <w:name w:val="Strong"/>
    <w:qFormat/>
    <w:rPr>
      <w:b/>
    </w:rPr>
  </w:style>
  <w:style w:type="character" w:customStyle="1" w:styleId="CommentTextChar">
    <w:name w:val="Comment Text Char"/>
    <w:rPr>
      <w:sz w:val="24"/>
    </w:rPr>
  </w:style>
  <w:style w:type="character" w:customStyle="1" w:styleId="CommentSubjectChar">
    <w:name w:val="Comment Subject Char"/>
    <w:rPr>
      <w:b/>
      <w:bCs/>
      <w:sz w:val="24"/>
    </w:rPr>
  </w:style>
  <w:style w:type="character" w:customStyle="1" w:styleId="UnresolvedMention">
    <w:name w:val="Unresolved Mention"/>
    <w:rPr>
      <w:color w:val="605E5C"/>
      <w:shd w:val="clear" w:color="auto" w:fill="E1DFDD"/>
    </w:rPr>
  </w:style>
  <w:style w:type="paragraph" w:customStyle="1" w:styleId="Heading">
    <w:name w:val="Heading"/>
    <w:basedOn w:val="Normal"/>
    <w:next w:val="BodyText"/>
    <w:pPr>
      <w:keepNext/>
      <w:spacing w:after="240"/>
      <w:jc w:val="center"/>
      <w:outlineLvl w:val="0"/>
    </w:pPr>
    <w:rPr>
      <w:b/>
    </w:rPr>
  </w:style>
  <w:style w:type="paragraph" w:styleId="BodyText">
    <w:name w:val="Body Text"/>
    <w:basedOn w:val="Normal"/>
    <w:pPr>
      <w:spacing w:after="240"/>
      <w:ind w:firstLine="720"/>
    </w:pPr>
  </w:style>
  <w:style w:type="paragraph" w:styleId="List">
    <w:name w:val="List"/>
    <w:basedOn w:val="Normal"/>
  </w:style>
  <w:style w:type="paragraph" w:styleId="Caption">
    <w:name w:val="caption"/>
    <w:basedOn w:val="Normal"/>
    <w:next w:val="Normal"/>
    <w:qFormat/>
    <w:rPr>
      <w:b/>
    </w:rPr>
  </w:style>
  <w:style w:type="paragraph" w:customStyle="1" w:styleId="Index">
    <w:name w:val="Index"/>
    <w:basedOn w:val="Normal"/>
    <w:pPr>
      <w:suppressLineNumbers/>
    </w:pPr>
    <w:rPr>
      <w:rFonts w:cs="Arial"/>
    </w:rPr>
  </w:style>
  <w:style w:type="paragraph" w:customStyle="1" w:styleId="HeaderandFooter">
    <w:name w:val="Header and Footer"/>
    <w:basedOn w:val="Normal"/>
    <w:pPr>
      <w:suppressLineNumbers/>
      <w:tabs>
        <w:tab w:val="center" w:pos="4986"/>
        <w:tab w:val="right" w:pos="9972"/>
      </w:tabs>
    </w:pPr>
  </w:style>
  <w:style w:type="paragraph" w:styleId="Header">
    <w:name w:val="header"/>
    <w:pPr>
      <w:tabs>
        <w:tab w:val="center" w:pos="4680"/>
        <w:tab w:val="right" w:pos="9360"/>
      </w:tabs>
      <w:suppressAutoHyphens/>
    </w:pPr>
    <w:rPr>
      <w:sz w:val="24"/>
      <w:szCs w:val="24"/>
    </w:rPr>
  </w:style>
  <w:style w:type="paragraph" w:styleId="Footer">
    <w:name w:val="footer"/>
    <w:basedOn w:val="Normal"/>
    <w:pPr>
      <w:tabs>
        <w:tab w:val="center" w:pos="4680"/>
        <w:tab w:val="right" w:pos="9360"/>
      </w:tabs>
    </w:pPr>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eastAsia="zh-CN"/>
    </w:rPr>
  </w:style>
  <w:style w:type="paragraph" w:styleId="BlockText">
    <w:name w:val="Block Text"/>
    <w:basedOn w:val="Normal"/>
    <w:pPr>
      <w:spacing w:after="240"/>
    </w:pPr>
  </w:style>
  <w:style w:type="paragraph" w:styleId="Closing">
    <w:name w:val="Closing"/>
    <w:basedOn w:val="Normal"/>
    <w:pPr>
      <w:spacing w:after="960"/>
      <w:ind w:left="4608"/>
    </w:pPr>
  </w:style>
  <w:style w:type="paragraph" w:styleId="CommentText">
    <w:name w:val="annotation text"/>
    <w:basedOn w:val="Normal"/>
  </w:style>
  <w:style w:type="paragraph" w:styleId="Date">
    <w:name w:val="Date"/>
    <w:basedOn w:val="Normal"/>
    <w:next w:val="Normal"/>
    <w:pPr>
      <w:spacing w:after="480"/>
      <w:ind w:left="4608"/>
    </w:pPr>
  </w:style>
  <w:style w:type="paragraph" w:styleId="DocumentMap">
    <w:name w:val="Document Map"/>
    <w:basedOn w:val="Normal"/>
    <w:rPr>
      <w:rFonts w:ascii="Tahoma" w:hAnsi="Tahoma" w:cs="Tahoma"/>
    </w:rPr>
  </w:style>
  <w:style w:type="paragraph" w:styleId="EndnoteText">
    <w:name w:val="endnote text"/>
    <w:basedOn w:val="Normal"/>
    <w:rPr>
      <w:sz w:val="20"/>
    </w:rPr>
  </w:style>
  <w:style w:type="paragraph" w:styleId="EnvelopeAddress">
    <w:name w:val="envelope address"/>
    <w:basedOn w:val="Normal"/>
    <w:pPr>
      <w:ind w:left="2880"/>
    </w:pPr>
  </w:style>
  <w:style w:type="paragraph" w:styleId="EnvelopeReturn">
    <w:name w:val="envelope return"/>
    <w:basedOn w:val="Normal"/>
    <w:rPr>
      <w:sz w:val="20"/>
    </w:rPr>
  </w:style>
  <w:style w:type="paragraph" w:styleId="FootnoteText">
    <w:name w:val="footnote text"/>
    <w:basedOn w:val="Normal"/>
    <w:pPr>
      <w:ind w:left="360" w:hanging="360"/>
    </w:pPr>
    <w:rPr>
      <w:sz w:val="20"/>
    </w:rPr>
  </w:style>
  <w:style w:type="paragraph" w:styleId="Index1">
    <w:name w:val="index 1"/>
    <w:basedOn w:val="Normal"/>
    <w:next w:val="Normal"/>
  </w:style>
  <w:style w:type="paragraph" w:styleId="Index2">
    <w:name w:val="index 2"/>
    <w:basedOn w:val="Index1"/>
    <w:next w:val="Normal"/>
    <w:pPr>
      <w:ind w:left="360"/>
    </w:pPr>
  </w:style>
  <w:style w:type="paragraph" w:styleId="Index3">
    <w:name w:val="index 3"/>
    <w:basedOn w:val="Index2"/>
    <w:next w:val="Normal"/>
    <w:pPr>
      <w:ind w:left="720"/>
    </w:pPr>
  </w:style>
  <w:style w:type="paragraph" w:styleId="Index4">
    <w:name w:val="index 4"/>
    <w:basedOn w:val="Index3"/>
    <w:next w:val="Normal"/>
    <w:pPr>
      <w:ind w:left="1080"/>
    </w:pPr>
  </w:style>
  <w:style w:type="paragraph" w:styleId="Index5">
    <w:name w:val="index 5"/>
    <w:basedOn w:val="Index4"/>
    <w:next w:val="Normal"/>
    <w:pPr>
      <w:ind w:left="1440"/>
    </w:pPr>
  </w:style>
  <w:style w:type="paragraph" w:styleId="Index6">
    <w:name w:val="index 6"/>
    <w:basedOn w:val="Index5"/>
    <w:next w:val="Normal"/>
    <w:pPr>
      <w:ind w:left="1800"/>
    </w:pPr>
  </w:style>
  <w:style w:type="paragraph" w:styleId="Index7">
    <w:name w:val="index 7"/>
    <w:basedOn w:val="Index6"/>
    <w:next w:val="Normal"/>
    <w:pPr>
      <w:ind w:left="2160"/>
    </w:pPr>
  </w:style>
  <w:style w:type="paragraph" w:styleId="Index8">
    <w:name w:val="index 8"/>
    <w:basedOn w:val="Index7"/>
    <w:next w:val="Normal"/>
    <w:pPr>
      <w:ind w:left="2520"/>
    </w:pPr>
  </w:style>
  <w:style w:type="paragraph" w:styleId="Index9">
    <w:name w:val="index 9"/>
    <w:basedOn w:val="Index8"/>
    <w:next w:val="Normal"/>
    <w:pPr>
      <w:ind w:left="2880"/>
    </w:pPr>
  </w:style>
  <w:style w:type="paragraph" w:styleId="IndexHeading">
    <w:name w:val="index heading"/>
    <w:basedOn w:val="Normal"/>
    <w:next w:val="Index1"/>
  </w:style>
  <w:style w:type="paragraph" w:styleId="ListBullet2">
    <w:name w:val="List Bullet 2"/>
    <w:basedOn w:val="Normal"/>
    <w:pPr>
      <w:ind w:left="1440" w:hanging="720"/>
    </w:pPr>
  </w:style>
  <w:style w:type="paragraph" w:styleId="ListBullet3">
    <w:name w:val="List Bullet 3"/>
    <w:basedOn w:val="ListBullet2"/>
    <w:pPr>
      <w:ind w:left="2160"/>
    </w:pPr>
  </w:style>
  <w:style w:type="paragraph" w:styleId="ListBullet4">
    <w:name w:val="List Bullet 4"/>
    <w:basedOn w:val="ListBullet3"/>
    <w:pPr>
      <w:ind w:left="2880"/>
    </w:pPr>
  </w:style>
  <w:style w:type="paragraph" w:styleId="ListBullet5">
    <w:name w:val="List Bullet 5"/>
    <w:basedOn w:val="ListBullet4"/>
    <w:pPr>
      <w:ind w:left="3600"/>
    </w:pPr>
  </w:style>
  <w:style w:type="paragraph" w:styleId="ListBullet">
    <w:name w:val="List Bullet"/>
    <w:basedOn w:val="Normal"/>
    <w:pPr>
      <w:numPr>
        <w:numId w:val="9"/>
      </w:numPr>
      <w:spacing w:after="120"/>
    </w:pPr>
  </w:style>
  <w:style w:type="paragraph" w:customStyle="1" w:styleId="ListBullet21">
    <w:name w:val="List Bullet 21"/>
    <w:basedOn w:val="Normal"/>
    <w:pPr>
      <w:numPr>
        <w:numId w:val="8"/>
      </w:numPr>
    </w:pPr>
  </w:style>
  <w:style w:type="paragraph" w:customStyle="1" w:styleId="ListBullet31">
    <w:name w:val="List Bullet 31"/>
    <w:basedOn w:val="Normal"/>
    <w:pPr>
      <w:numPr>
        <w:numId w:val="7"/>
      </w:numPr>
    </w:pPr>
  </w:style>
  <w:style w:type="paragraph" w:customStyle="1" w:styleId="ListBullet41">
    <w:name w:val="List Bullet 41"/>
    <w:basedOn w:val="Normal"/>
    <w:pPr>
      <w:numPr>
        <w:numId w:val="6"/>
      </w:numPr>
    </w:pPr>
  </w:style>
  <w:style w:type="paragraph" w:customStyle="1" w:styleId="ListBullet51">
    <w:name w:val="List Bullet 51"/>
    <w:basedOn w:val="Normal"/>
    <w:pPr>
      <w:numPr>
        <w:numId w:val="5"/>
      </w:numPr>
    </w:pPr>
  </w:style>
  <w:style w:type="paragraph" w:styleId="ListContinue">
    <w:name w:val="List Continue"/>
    <w:basedOn w:val="Normal"/>
    <w:pPr>
      <w:spacing w:before="240"/>
    </w:pPr>
  </w:style>
  <w:style w:type="paragraph" w:styleId="ListContinue2">
    <w:name w:val="List Continue 2"/>
    <w:basedOn w:val="ListContinue"/>
    <w:pPr>
      <w:ind w:left="720"/>
    </w:pPr>
  </w:style>
  <w:style w:type="paragraph" w:styleId="ListContinue3">
    <w:name w:val="List Continue 3"/>
    <w:basedOn w:val="ListContinue"/>
    <w:pPr>
      <w:ind w:left="1440"/>
    </w:pPr>
  </w:style>
  <w:style w:type="paragraph" w:styleId="ListContinue4">
    <w:name w:val="List Continue 4"/>
    <w:basedOn w:val="ListContinue"/>
    <w:pPr>
      <w:ind w:left="2160"/>
    </w:pPr>
  </w:style>
  <w:style w:type="paragraph" w:styleId="ListContinue5">
    <w:name w:val="List Continue 5"/>
    <w:basedOn w:val="ListContinue"/>
    <w:pPr>
      <w:ind w:left="2880"/>
    </w:pPr>
  </w:style>
  <w:style w:type="paragraph" w:styleId="ListNumber">
    <w:name w:val="List Number"/>
    <w:basedOn w:val="Normal"/>
    <w:pPr>
      <w:numPr>
        <w:numId w:val="10"/>
      </w:numPr>
      <w:spacing w:after="120"/>
    </w:pPr>
  </w:style>
  <w:style w:type="paragraph" w:styleId="ListNumber2">
    <w:name w:val="List Number 2"/>
    <w:basedOn w:val="ListNumber"/>
    <w:pPr>
      <w:numPr>
        <w:numId w:val="0"/>
      </w:numPr>
    </w:pPr>
  </w:style>
  <w:style w:type="paragraph" w:styleId="ListNumber3">
    <w:name w:val="List Number 3"/>
    <w:basedOn w:val="ListNumber"/>
    <w:pPr>
      <w:numPr>
        <w:numId w:val="4"/>
      </w:numPr>
    </w:pPr>
  </w:style>
  <w:style w:type="paragraph" w:styleId="ListNumber4">
    <w:name w:val="List Number 4"/>
    <w:basedOn w:val="ListNumber"/>
    <w:pPr>
      <w:numPr>
        <w:numId w:val="3"/>
      </w:numPr>
    </w:pPr>
  </w:style>
  <w:style w:type="paragraph" w:styleId="ListNumber5">
    <w:name w:val="List Number 5"/>
    <w:basedOn w:val="ListNumber"/>
    <w:pPr>
      <w:numPr>
        <w:numId w:val="2"/>
      </w:numPr>
    </w:p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style>
  <w:style w:type="paragraph" w:styleId="Salutation">
    <w:name w:val="Salutation"/>
    <w:basedOn w:val="Normal"/>
    <w:next w:val="Normal"/>
    <w:pPr>
      <w:spacing w:before="240" w:after="240"/>
    </w:pPr>
    <w:rPr>
      <w:szCs w:val="24"/>
    </w:rPr>
  </w:style>
  <w:style w:type="paragraph" w:styleId="Signature">
    <w:name w:val="Signature"/>
    <w:basedOn w:val="Normal"/>
    <w:pPr>
      <w:ind w:left="4608"/>
    </w:pPr>
  </w:style>
  <w:style w:type="paragraph" w:styleId="Subtitle">
    <w:name w:val="Subtitle"/>
    <w:basedOn w:val="Normal"/>
    <w:next w:val="BodyText"/>
    <w:qFormat/>
    <w:pPr>
      <w:keepNext/>
      <w:spacing w:after="240"/>
      <w:outlineLvl w:val="1"/>
    </w:pPr>
    <w:rPr>
      <w:rFonts w:cs="Arial"/>
      <w:b/>
      <w:szCs w:val="24"/>
    </w:rPr>
  </w:style>
  <w:style w:type="paragraph" w:styleId="TableofAuthorities">
    <w:name w:val="table of authorities"/>
    <w:basedOn w:val="Normal"/>
    <w:next w:val="Normal"/>
    <w:pPr>
      <w:ind w:left="240" w:hanging="240"/>
    </w:pPr>
  </w:style>
  <w:style w:type="paragraph" w:styleId="TableofFigures">
    <w:name w:val="table of figures"/>
    <w:basedOn w:val="Normal"/>
    <w:next w:val="Normal"/>
    <w:pPr>
      <w:ind w:left="480" w:hanging="480"/>
    </w:pPr>
  </w:style>
  <w:style w:type="paragraph" w:styleId="TOAHeading">
    <w:name w:val="toa heading"/>
    <w:basedOn w:val="Normal"/>
    <w:next w:val="Normal"/>
    <w:pPr>
      <w:spacing w:before="120"/>
    </w:pPr>
    <w:rPr>
      <w:rFonts w:ascii="Arial" w:hAnsi="Arial" w:cs="Arial"/>
      <w:b/>
    </w:rPr>
  </w:style>
  <w:style w:type="paragraph" w:styleId="TOC1">
    <w:name w:val="toc 1"/>
    <w:basedOn w:val="Normal"/>
    <w:pPr>
      <w:tabs>
        <w:tab w:val="decimal" w:leader="dot" w:pos="9360"/>
      </w:tabs>
      <w:spacing w:before="240"/>
      <w:ind w:left="360" w:hanging="360"/>
    </w:pPr>
    <w:rPr>
      <w:b/>
    </w:rPr>
  </w:style>
  <w:style w:type="paragraph" w:styleId="TOC2">
    <w:name w:val="toc 2"/>
    <w:basedOn w:val="TOC1"/>
    <w:pPr>
      <w:ind w:left="720" w:right="720"/>
    </w:pPr>
  </w:style>
  <w:style w:type="paragraph" w:styleId="TOC3">
    <w:name w:val="toc 3"/>
    <w:basedOn w:val="TOC2"/>
    <w:pPr>
      <w:ind w:left="1080"/>
    </w:pPr>
  </w:style>
  <w:style w:type="paragraph" w:styleId="TOC4">
    <w:name w:val="toc 4"/>
    <w:basedOn w:val="TOC3"/>
    <w:next w:val="Normal"/>
    <w:pPr>
      <w:ind w:left="1440"/>
    </w:pPr>
  </w:style>
  <w:style w:type="paragraph" w:styleId="TOC5">
    <w:name w:val="toc 5"/>
    <w:basedOn w:val="TOC4"/>
    <w:next w:val="Normal"/>
    <w:pPr>
      <w:ind w:left="1800"/>
    </w:pPr>
  </w:style>
  <w:style w:type="paragraph" w:styleId="TOC6">
    <w:name w:val="toc 6"/>
    <w:basedOn w:val="TOC5"/>
    <w:next w:val="Normal"/>
    <w:pPr>
      <w:ind w:left="2160"/>
    </w:pPr>
  </w:style>
  <w:style w:type="paragraph" w:styleId="TOC7">
    <w:name w:val="toc 7"/>
    <w:basedOn w:val="TOC6"/>
    <w:next w:val="Normal"/>
    <w:pPr>
      <w:ind w:left="2520"/>
    </w:pPr>
  </w:style>
  <w:style w:type="paragraph" w:styleId="TOC8">
    <w:name w:val="toc 8"/>
    <w:basedOn w:val="TOC7"/>
    <w:next w:val="Normal"/>
    <w:pPr>
      <w:ind w:left="2880"/>
    </w:pPr>
  </w:style>
  <w:style w:type="paragraph" w:styleId="TOC9">
    <w:name w:val="toc 9"/>
    <w:basedOn w:val="TOC8"/>
    <w:next w:val="Normal"/>
    <w:pPr>
      <w:ind w:left="3240"/>
    </w:pPr>
  </w:style>
  <w:style w:type="paragraph" w:styleId="BalloonText">
    <w:name w:val="Balloon Text"/>
    <w:basedOn w:val="Normal"/>
    <w:rPr>
      <w:rFonts w:ascii="Tahoma" w:hAnsi="Tahoma" w:cs="Tahoma"/>
      <w:sz w:val="16"/>
      <w:szCs w:val="16"/>
    </w:rPr>
  </w:style>
  <w:style w:type="paragraph" w:styleId="Revision">
    <w:name w:val="Revision"/>
    <w:pPr>
      <w:suppressAutoHyphens/>
    </w:pPr>
    <w:rPr>
      <w:sz w:val="24"/>
      <w:lang w:eastAsia="zh-CN"/>
    </w:rPr>
  </w:style>
  <w:style w:type="paragraph" w:styleId="CommentSubject">
    <w:name w:val="annotation subject"/>
    <w:basedOn w:val="CommentText"/>
    <w:next w:val="CommentText"/>
    <w:rPr>
      <w:b/>
      <w:bCs/>
      <w:sz w:val="20"/>
    </w:rPr>
  </w:style>
  <w:style w:type="paragraph" w:styleId="ListParagraph">
    <w:name w:val="List Paragraph"/>
    <w:basedOn w:val="Normal"/>
    <w:qFormat/>
    <w:pPr>
      <w:ind w:left="720"/>
    </w:pPr>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39"/>
    <w:rsid w:val="00A21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legislature.gov/Bills/Search?SearchTerms=H.5644" TargetMode="External"/><Relationship Id="rId3" Type="http://schemas.openxmlformats.org/officeDocument/2006/relationships/settings" Target="settings.xml"/><Relationship Id="rId7" Type="http://schemas.openxmlformats.org/officeDocument/2006/relationships/hyperlink" Target="https://www.mass.gov/info-details/mass-general-laws-c190b-ss-5-3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D:\CPR\Users\planz\Downloads\Study%20and%20Report%20on%20the%20Need%20and%20Feasibility%20of%20Qualified%20Professional%20Guardians%20-%20Final-3.pdf"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paul.lanzikos@gmail.com" TargetMode="External"/><Relationship Id="rId4" Type="http://schemas.openxmlformats.org/officeDocument/2006/relationships/webSettings" Target="webSettings.xml"/><Relationship Id="rId9" Type="http://schemas.openxmlformats.org/officeDocument/2006/relationships/hyperlink" Target="mailto:jford@njc-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CharactersWithSpaces>
  <SharedDoc>false</SharedDoc>
  <HLinks>
    <vt:vector size="30" baseType="variant">
      <vt:variant>
        <vt:i4>3014726</vt:i4>
      </vt:variant>
      <vt:variant>
        <vt:i4>12</vt:i4>
      </vt:variant>
      <vt:variant>
        <vt:i4>0</vt:i4>
      </vt:variant>
      <vt:variant>
        <vt:i4>5</vt:i4>
      </vt:variant>
      <vt:variant>
        <vt:lpwstr>mailto:Paul.lanzikos@gmail.com</vt:lpwstr>
      </vt:variant>
      <vt:variant>
        <vt:lpwstr/>
      </vt:variant>
      <vt:variant>
        <vt:i4>4128855</vt:i4>
      </vt:variant>
      <vt:variant>
        <vt:i4>9</vt:i4>
      </vt:variant>
      <vt:variant>
        <vt:i4>0</vt:i4>
      </vt:variant>
      <vt:variant>
        <vt:i4>5</vt:i4>
      </vt:variant>
      <vt:variant>
        <vt:lpwstr>mailto:jford@njc-ma.org</vt:lpwstr>
      </vt:variant>
      <vt:variant>
        <vt:lpwstr/>
      </vt:variant>
      <vt:variant>
        <vt:i4>4194388</vt:i4>
      </vt:variant>
      <vt:variant>
        <vt:i4>6</vt:i4>
      </vt:variant>
      <vt:variant>
        <vt:i4>0</vt:i4>
      </vt:variant>
      <vt:variant>
        <vt:i4>5</vt:i4>
      </vt:variant>
      <vt:variant>
        <vt:lpwstr>https://malegislature.gov/Bills/Search?SearchTerms=H.5644</vt:lpwstr>
      </vt:variant>
      <vt:variant>
        <vt:lpwstr/>
      </vt:variant>
      <vt:variant>
        <vt:i4>8192045</vt:i4>
      </vt:variant>
      <vt:variant>
        <vt:i4>3</vt:i4>
      </vt:variant>
      <vt:variant>
        <vt:i4>0</vt:i4>
      </vt:variant>
      <vt:variant>
        <vt:i4>5</vt:i4>
      </vt:variant>
      <vt:variant>
        <vt:lpwstr>https://www.mass.gov/info-details/mass-general-laws-c190b-ss-5-309</vt:lpwstr>
      </vt:variant>
      <vt:variant>
        <vt:lpwstr/>
      </vt:variant>
      <vt:variant>
        <vt:i4>6815830</vt:i4>
      </vt:variant>
      <vt:variant>
        <vt:i4>0</vt:i4>
      </vt:variant>
      <vt:variant>
        <vt:i4>0</vt:i4>
      </vt:variant>
      <vt:variant>
        <vt:i4>5</vt:i4>
      </vt:variant>
      <vt:variant>
        <vt:lpwstr>D:\CPR\Users\planz\Downloads\Study and Report on the Need and Feasibility of Qualified Professional Guardians - Final-3.pdf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Lanzikos</dc:creator>
  <cp:keywords/>
  <cp:lastModifiedBy>Rorke, Sue (ADD)</cp:lastModifiedBy>
  <cp:revision>2</cp:revision>
  <cp:lastPrinted>2026-10-20T21:27:00Z</cp:lastPrinted>
  <dcterms:created xsi:type="dcterms:W3CDTF">2026-10-29T18:00:00Z</dcterms:created>
  <dcterms:modified xsi:type="dcterms:W3CDTF">2026-10-29T18:00:00Z</dcterms:modified>
</cp:coreProperties>
</file>