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3BF38" w14:textId="17914D68" w:rsidR="00F96852" w:rsidRPr="007F6C0E" w:rsidRDefault="00F96852" w:rsidP="007F6C0E">
      <w:pPr>
        <w:pStyle w:val="Heading1"/>
      </w:pPr>
      <w:r w:rsidRPr="00F96852">
        <w:rPr>
          <w:rFonts w:eastAsia="Times New Roman"/>
          <w:b/>
          <w:bCs/>
        </w:rPr>
        <w:t xml:space="preserve">The Conference That </w:t>
      </w:r>
      <w:proofErr w:type="gramStart"/>
      <w:r w:rsidRPr="00F96852">
        <w:rPr>
          <w:rFonts w:eastAsia="Times New Roman"/>
          <w:b/>
          <w:bCs/>
        </w:rPr>
        <w:t>Stopped</w:t>
      </w:r>
      <w:r w:rsidR="000222F8">
        <w:rPr>
          <w:rFonts w:eastAsia="Times New Roman"/>
          <w:b/>
          <w:bCs/>
        </w:rPr>
        <w:t xml:space="preserve"> :</w:t>
      </w:r>
      <w:proofErr w:type="gramEnd"/>
      <w:r w:rsidR="000222F8">
        <w:rPr>
          <w:rFonts w:eastAsia="Times New Roman"/>
          <w:b/>
          <w:bCs/>
        </w:rPr>
        <w:t xml:space="preserve"> </w:t>
      </w:r>
      <w:r w:rsidRPr="00F96852">
        <w:rPr>
          <w:rFonts w:eastAsia="Times New Roman"/>
        </w:rPr>
        <w:t>What the Silence Tells Us About Who We Think Older Americans Are</w:t>
      </w:r>
    </w:p>
    <w:p w14:paraId="1C7BACA6"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4F9B25F5"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By James A. Lomastro, Ph.D.</w:t>
      </w:r>
    </w:p>
    <w:p w14:paraId="0E0C170D"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00DD088C"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i/>
          <w:iCs/>
          <w:color w:val="333333"/>
          <w:kern w:val="0"/>
          <w14:ligatures w14:val="none"/>
        </w:rPr>
        <w:t>“The Conference can move this Nation toward the goal of making old age a time of contribution and satisfaction.”</w:t>
      </w:r>
    </w:p>
    <w:p w14:paraId="3A9D8687"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483EAE34"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i/>
          <w:iCs/>
          <w:color w:val="333333"/>
          <w:kern w:val="0"/>
          <w14:ligatures w14:val="none"/>
        </w:rPr>
        <w:t>— President Richard Nixon, calling for the 1971 White House Conference on Aging</w:t>
      </w:r>
    </w:p>
    <w:p w14:paraId="27ADD8EF"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53680CB5"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59BC6B52"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2C6E1463"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As of this writing, there are no plans for a White House Conference on Aging. What it does signal is what the evidence shows: that the most consequential demographic event in American social policy history that is the Baby Boom generation’s arrival at peak long-term care need is occurring without a national convening, without a democratic reckoning, without the decennial instrument that six previous presidents from both parties found sufficient cause to use. The silence is a choice. And choices made about the most vulnerable people in the most vulnerable circumstances are moral acts, regardless of how they are framed.</w:t>
      </w:r>
    </w:p>
    <w:p w14:paraId="1610ED83"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22748260"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6ABA50CC"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08BA9D98" w14:textId="77777777" w:rsidR="00F96852" w:rsidRPr="00F96852" w:rsidRDefault="00F96852" w:rsidP="007F6C0E">
      <w:pPr>
        <w:pStyle w:val="Heading2"/>
        <w:rPr>
          <w:rFonts w:ascii="Aptos" w:eastAsia="Times New Roman" w:hAnsi="Aptos"/>
          <w:color w:val="000000"/>
        </w:rPr>
      </w:pPr>
      <w:r w:rsidRPr="00F96852">
        <w:rPr>
          <w:rFonts w:eastAsia="Times New Roman"/>
        </w:rPr>
        <w:t>A Tradition with a Record</w:t>
      </w:r>
    </w:p>
    <w:p w14:paraId="7A3C90E1"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008EFE94"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T</w:t>
      </w:r>
      <w:hyperlink r:id="rId4" w:tgtFrame="_blank" w:history="1">
        <w:r w:rsidRPr="00F96852">
          <w:rPr>
            <w:rFonts w:ascii="Helvetica" w:eastAsia="Times New Roman" w:hAnsi="Helvetica" w:cs="Times New Roman"/>
            <w:color w:val="0000FF"/>
            <w:kern w:val="0"/>
            <w:u w:val="single"/>
            <w14:ligatures w14:val="none"/>
          </w:rPr>
          <w:t>he White House Conference on Aging has met roughly once per decade since 1961.</w:t>
        </w:r>
      </w:hyperlink>
      <w:r w:rsidRPr="00F96852">
        <w:rPr>
          <w:rFonts w:ascii="Helvetica" w:eastAsia="Times New Roman" w:hAnsi="Helvetica" w:cs="Times New Roman"/>
          <w:color w:val="333333"/>
          <w:kern w:val="0"/>
          <w14:ligatures w14:val="none"/>
        </w:rPr>
        <w:t> The 1961 conference gave momentum to advocates who passed a resolution the AMA called socialized medicine. Four years later, Medicare existed. The 1971 conference under Nixon produced the National Institute on Aging, a strengthened Older Americans Act, and the framework for Supplemental Security Income. The 1981 conference under Reagan was a battleground — but it happened, and the resistance was placed in the democratic record. The 1995 conference served as a firewall against proposed Medicare and Medicaid cuts. </w:t>
      </w:r>
      <w:hyperlink r:id="rId5" w:tgtFrame="_blank" w:history="1">
        <w:r w:rsidRPr="00F96852">
          <w:rPr>
            <w:rFonts w:ascii="Helvetica" w:eastAsia="Times New Roman" w:hAnsi="Helvetica" w:cs="Times New Roman"/>
            <w:color w:val="0000FF"/>
            <w:kern w:val="0"/>
            <w:u w:val="single"/>
            <w14:ligatures w14:val="none"/>
          </w:rPr>
          <w:t>The 2005 conference</w:t>
        </w:r>
      </w:hyperlink>
      <w:r w:rsidRPr="00F96852">
        <w:rPr>
          <w:rFonts w:ascii="Helvetica" w:eastAsia="Times New Roman" w:hAnsi="Helvetica" w:cs="Times New Roman"/>
          <w:color w:val="333333"/>
          <w:kern w:val="0"/>
          <w14:ligatures w14:val="none"/>
        </w:rPr>
        <w:t>, which I covered as a journalist, was tightly managed by the Bush White House — yet delegates voted on 50 resolutions, and the mental health resolution made the top ten against the administration’s explicit preferences. </w:t>
      </w:r>
    </w:p>
    <w:p w14:paraId="08C92A64"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286C01C4" w14:textId="77777777" w:rsidR="00F96852" w:rsidRPr="00F96852" w:rsidRDefault="00F96852" w:rsidP="00F96852">
      <w:pPr>
        <w:ind w:firstLine="0"/>
        <w:rPr>
          <w:rFonts w:ascii="Aptos" w:eastAsia="Times New Roman" w:hAnsi="Aptos" w:cs="Times New Roman"/>
          <w:color w:val="000000"/>
          <w:kern w:val="0"/>
          <w14:ligatures w14:val="none"/>
        </w:rPr>
      </w:pPr>
      <w:hyperlink r:id="rId6" w:tgtFrame="_blank" w:history="1">
        <w:r w:rsidRPr="00F96852">
          <w:rPr>
            <w:rFonts w:ascii="Helvetica" w:eastAsia="Times New Roman" w:hAnsi="Helvetica" w:cs="Times New Roman"/>
            <w:color w:val="0000FF"/>
            <w:kern w:val="0"/>
            <w:u w:val="single"/>
            <w14:ligatures w14:val="none"/>
          </w:rPr>
          <w:t>The 2015 conference, under Obama</w:t>
        </w:r>
      </w:hyperlink>
      <w:r w:rsidRPr="00F96852">
        <w:rPr>
          <w:rFonts w:ascii="Helvetica" w:eastAsia="Times New Roman" w:hAnsi="Helvetica" w:cs="Times New Roman"/>
          <w:color w:val="333333"/>
          <w:kern w:val="0"/>
          <w14:ligatures w14:val="none"/>
        </w:rPr>
        <w:t>, was organized around four administration-chosen pillars rather than delegate resolutions. It did work on elder justice and honored the 50th anniversary of Medicare and the Older Americans Act. But anniversaries can also be a form of displacement. The private equity penetration reshaping long-term care’s financial architecture, the management fees draining resources from facilities while residents absorbed the consequences, the workforce crisis the 2005 conference had named none of this was named structurally in 2015.</w:t>
      </w:r>
    </w:p>
    <w:p w14:paraId="528C8D76"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751BD479"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Then nothing at all.</w:t>
      </w:r>
    </w:p>
    <w:p w14:paraId="47B31E11"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3D95529C"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248EFBBF"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1C5C9665" w14:textId="77777777" w:rsidR="00F96852" w:rsidRPr="00F96852" w:rsidRDefault="00F96852" w:rsidP="007F6C0E">
      <w:pPr>
        <w:pStyle w:val="Heading2"/>
        <w:rPr>
          <w:rFonts w:ascii="Aptos" w:eastAsia="Times New Roman" w:hAnsi="Aptos"/>
          <w:color w:val="000000"/>
        </w:rPr>
      </w:pPr>
      <w:r w:rsidRPr="00F96852">
        <w:rPr>
          <w:rFonts w:eastAsia="Times New Roman"/>
        </w:rPr>
        <w:t>The Decade the Data Recorded</w:t>
      </w:r>
    </w:p>
    <w:p w14:paraId="27026986"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22970270"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The oldest Boomers were 59 in 2005, 69 in 2015. They are 79 now. The peak demand years for long-term care are not coming. They are here.</w:t>
      </w:r>
    </w:p>
    <w:p w14:paraId="1645447A"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7A60C23A"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Massachusetts data from 2024 shows 31.3 percent of nursing facilities operating below minimum staffing requirements, with for-profit facilities accounting for 92 percent of violations. Research shows roughly 63 percent of nursing home profits flowing through related-party transactions that allow operators to extract wealth while reporting losses on patient care. </w:t>
      </w:r>
      <w:hyperlink r:id="rId7" w:tgtFrame="_blank" w:history="1">
        <w:r w:rsidRPr="00F96852">
          <w:rPr>
            <w:rFonts w:ascii="Helvetica" w:eastAsia="Times New Roman" w:hAnsi="Helvetica" w:cs="Times New Roman"/>
            <w:color w:val="0000FF"/>
            <w:kern w:val="0"/>
            <w:u w:val="single"/>
            <w14:ligatures w14:val="none"/>
          </w:rPr>
          <w:t>The geriatric workforce shortage</w:t>
        </w:r>
      </w:hyperlink>
      <w:r w:rsidRPr="00F96852">
        <w:rPr>
          <w:rFonts w:ascii="Helvetica" w:eastAsia="Times New Roman" w:hAnsi="Helvetica" w:cs="Times New Roman"/>
          <w:color w:val="333333"/>
          <w:kern w:val="0"/>
          <w14:ligatures w14:val="none"/>
        </w:rPr>
        <w:t> projected at 27,000 by 2025 arrived on schedule. The 175,000 nursing home residents who died in the first year of COVID-19 did not die because a virus was novel. They died because the buildings where they lived had been operating for years without margin for crisis. The pandemic was the stress test. The failures were pre-existing conditions.</w:t>
      </w:r>
    </w:p>
    <w:p w14:paraId="6D0816F7"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6A65F126"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None of this was secret. The data was available to any administration, any Congress, any convener who wanted to call a conference and reckon with it. No conference was called.</w:t>
      </w:r>
    </w:p>
    <w:p w14:paraId="63E11C8A"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732B39BC" w14:textId="1E5AC16F" w:rsidR="00F96852" w:rsidRPr="007F6C0E" w:rsidRDefault="00F96852" w:rsidP="007F6C0E">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5C52E95E" w14:textId="77777777" w:rsidR="00F96852" w:rsidRPr="00F96852" w:rsidRDefault="00F96852" w:rsidP="007F6C0E">
      <w:pPr>
        <w:pStyle w:val="Heading2"/>
        <w:rPr>
          <w:rFonts w:ascii="Aptos" w:eastAsia="Times New Roman" w:hAnsi="Aptos"/>
          <w:color w:val="000000"/>
        </w:rPr>
      </w:pPr>
      <w:r w:rsidRPr="00F96852">
        <w:rPr>
          <w:rFonts w:eastAsia="Times New Roman"/>
        </w:rPr>
        <w:t>The Cost of the Choice</w:t>
      </w:r>
    </w:p>
    <w:p w14:paraId="73CF8F97"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7CC488E4" w14:textId="77777777" w:rsidR="00F96852" w:rsidRPr="00F96852" w:rsidRDefault="00F96852" w:rsidP="00F96852">
      <w:pPr>
        <w:ind w:firstLine="0"/>
        <w:rPr>
          <w:rFonts w:ascii="Aptos" w:eastAsia="Times New Roman" w:hAnsi="Aptos" w:cs="Times New Roman"/>
          <w:color w:val="000000"/>
          <w:kern w:val="0"/>
          <w14:ligatures w14:val="none"/>
        </w:rPr>
      </w:pPr>
      <w:hyperlink r:id="rId8" w:tgtFrame="_blank" w:history="1">
        <w:r w:rsidRPr="00F96852">
          <w:rPr>
            <w:rFonts w:ascii="Helvetica" w:eastAsia="Times New Roman" w:hAnsi="Helvetica" w:cs="Times New Roman"/>
            <w:color w:val="0000FF"/>
            <w:kern w:val="0"/>
            <w:u w:val="single"/>
            <w14:ligatures w14:val="none"/>
          </w:rPr>
          <w:t>The Biden administration did request funding</w:t>
        </w:r>
      </w:hyperlink>
      <w:r w:rsidRPr="00F96852">
        <w:rPr>
          <w:rFonts w:ascii="Helvetica" w:eastAsia="Times New Roman" w:hAnsi="Helvetica" w:cs="Times New Roman"/>
          <w:color w:val="333333"/>
          <w:kern w:val="0"/>
          <w14:ligatures w14:val="none"/>
        </w:rPr>
        <w:t>. Neither chamber of Congress included the $2.5 million appropriation — less than the management fee paid by a single mid-sized nursing home to its affiliated company in a year. Legislation demanding the conference be convened was introduced in 2025. It cited the right numbers. It went nowhere.</w:t>
      </w:r>
    </w:p>
    <w:p w14:paraId="1AC48865"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00B13E05"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I am 78 years old. I live in Conway, Massachusetts, and have spent five decades in healthcare administration, inspecting facilities as a CARF surveyor, reporting on the structural conditions of eldercare. I know what the system looks like from the inside: what it looks like when the money leaves the building, when the workers leave, when the regulatory framework is designed to be navigated rather than enforced.</w:t>
      </w:r>
    </w:p>
    <w:p w14:paraId="2AA5098E"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186C47DC"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Most people in the demographic this silence concerns will discover those realities only when they or someone they love needs care and the care is not there.</w:t>
      </w:r>
    </w:p>
    <w:p w14:paraId="0D0D758A"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5862EA36"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The conference was an instrument for making invisible experience visible to people with the power to respond to it. The people who most need that visibility cannot produce it themselves — too sick, too isolated, too cognitively impaired, too economically precarious to generate the organized political voice the system responds to. The conference was a substitute for that voice.</w:t>
      </w:r>
    </w:p>
    <w:p w14:paraId="65C00F37"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1414A14D"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A 2025 conference would have had to name the private equity extraction model as an operating reality, not an emerging concern. It would have had to name the workforce crisis as a compensation problem, not a pipeline problem — and a wage floor requires public money the dominant political currents of this decade have refused. It would have had to name the failure of the coordinated national long-term care strategy the 2005 conference requested, which was never built. I think the conference was not held, in part, because holding it would have required saying those things plainly.</w:t>
      </w:r>
    </w:p>
    <w:p w14:paraId="767CC529"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2BA4ACF5"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Its absence is a statement about whose experience counts.</w:t>
      </w:r>
    </w:p>
    <w:p w14:paraId="678BFE9B"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00B364B7" w14:textId="77777777" w:rsidR="00F96852" w:rsidRPr="00F96852" w:rsidRDefault="00F96852" w:rsidP="007F6C0E">
      <w:pPr>
        <w:pStyle w:val="Heading2"/>
        <w:rPr>
          <w:rFonts w:ascii="Aptos" w:eastAsia="Times New Roman" w:hAnsi="Aptos"/>
          <w:color w:val="000000"/>
        </w:rPr>
      </w:pPr>
      <w:r w:rsidRPr="00F96852">
        <w:rPr>
          <w:rFonts w:eastAsia="Times New Roman"/>
        </w:rPr>
        <w:t>The Work That Continues</w:t>
      </w:r>
    </w:p>
    <w:p w14:paraId="7D2B833D"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0956B54C" w14:textId="77777777" w:rsidR="00F96852" w:rsidRPr="00F96852" w:rsidRDefault="00F96852" w:rsidP="00F96852">
      <w:pPr>
        <w:ind w:firstLine="0"/>
        <w:rPr>
          <w:rFonts w:ascii="Aptos" w:eastAsia="Times New Roman" w:hAnsi="Aptos" w:cs="Times New Roman"/>
          <w:color w:val="000000"/>
          <w:kern w:val="0"/>
          <w14:ligatures w14:val="none"/>
        </w:rPr>
      </w:pPr>
      <w:hyperlink r:id="rId9" w:tgtFrame="_blank" w:history="1">
        <w:r w:rsidRPr="00F96852">
          <w:rPr>
            <w:rFonts w:ascii="Helvetica" w:eastAsia="Times New Roman" w:hAnsi="Helvetica" w:cs="Times New Roman"/>
            <w:color w:val="0000FF"/>
            <w:kern w:val="0"/>
            <w:u w:val="single"/>
            <w14:ligatures w14:val="none"/>
          </w:rPr>
          <w:t>Advocates across the country are naming the extraction mechanisms</w:t>
        </w:r>
      </w:hyperlink>
      <w:r w:rsidRPr="00F96852">
        <w:rPr>
          <w:rFonts w:ascii="Helvetica" w:eastAsia="Times New Roman" w:hAnsi="Helvetica" w:cs="Times New Roman"/>
          <w:color w:val="333333"/>
          <w:kern w:val="0"/>
          <w14:ligatures w14:val="none"/>
        </w:rPr>
        <w:t> and building the coalitions structural reform requires. The absence of a national convening makes that work harder and less visible. It does not stop it.</w:t>
      </w:r>
    </w:p>
    <w:p w14:paraId="5E75E678"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6C177CD5"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The 1961 conference did not produce Medicare. It changed the terrain on which the battle was fought. Four years later, the battle was won.</w:t>
      </w:r>
    </w:p>
    <w:p w14:paraId="5C1CDF27"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5AA9CB09" w14:textId="77777777" w:rsidR="00F96852" w:rsidRPr="00F96852" w:rsidRDefault="00F96852" w:rsidP="00F96852">
      <w:pPr>
        <w:ind w:firstLine="0"/>
        <w:rPr>
          <w:rFonts w:ascii="Aptos" w:eastAsia="Times New Roman" w:hAnsi="Aptos" w:cs="Times New Roman"/>
          <w:color w:val="000000"/>
          <w:kern w:val="0"/>
          <w14:ligatures w14:val="none"/>
        </w:rPr>
      </w:pPr>
      <w:hyperlink r:id="rId10" w:tgtFrame="_blank" w:history="1">
        <w:r w:rsidRPr="00F96852">
          <w:rPr>
            <w:rFonts w:ascii="Helvetica" w:eastAsia="Times New Roman" w:hAnsi="Helvetica" w:cs="Times New Roman"/>
            <w:color w:val="0000FF"/>
            <w:kern w:val="0"/>
            <w:u w:val="single"/>
            <w14:ligatures w14:val="none"/>
          </w:rPr>
          <w:t>The peak demand years extend through the 2030s</w:t>
        </w:r>
      </w:hyperlink>
      <w:r w:rsidRPr="00F96852">
        <w:rPr>
          <w:rFonts w:ascii="Helvetica" w:eastAsia="Times New Roman" w:hAnsi="Helvetica" w:cs="Times New Roman"/>
          <w:color w:val="333333"/>
          <w:kern w:val="0"/>
          <w14:ligatures w14:val="none"/>
        </w:rPr>
        <w:t>. The workforce gap is not closing. The extraction model is not being dismantled. The oldest Boomers are entering a system that has had ten years since the last national reckoning to deteriorate further.</w:t>
      </w:r>
    </w:p>
    <w:p w14:paraId="3EDEF961"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w:t>
      </w:r>
    </w:p>
    <w:p w14:paraId="0B11C14D" w14:textId="77777777" w:rsidR="00F96852" w:rsidRPr="00F96852" w:rsidRDefault="00F96852" w:rsidP="00F96852">
      <w:pPr>
        <w:ind w:firstLine="0"/>
        <w:rPr>
          <w:rFonts w:ascii="Aptos" w:eastAsia="Times New Roman" w:hAnsi="Aptos" w:cs="Times New Roman"/>
          <w:color w:val="000000"/>
          <w:kern w:val="0"/>
          <w14:ligatures w14:val="none"/>
        </w:rPr>
      </w:pPr>
      <w:r w:rsidRPr="00F96852">
        <w:rPr>
          <w:rFonts w:ascii="Helvetica" w:eastAsia="Times New Roman" w:hAnsi="Helvetica" w:cs="Times New Roman"/>
          <w:color w:val="333333"/>
          <w:kern w:val="0"/>
          <w14:ligatures w14:val="none"/>
        </w:rPr>
        <w:t xml:space="preserve">There will be no resumption of this tradition in time to matter to those living now with the consequences of its absence. The window in which a national convening could have shaped the terrain before peak demand has closed. The demographic curve is not waiting for political will to mature. The conference was designed to make visible the realities of aging Americans at moments when policy </w:t>
      </w:r>
      <w:proofErr w:type="gramStart"/>
      <w:r w:rsidRPr="00F96852">
        <w:rPr>
          <w:rFonts w:ascii="Helvetica" w:eastAsia="Times New Roman" w:hAnsi="Helvetica" w:cs="Times New Roman"/>
          <w:color w:val="333333"/>
          <w:kern w:val="0"/>
          <w14:ligatures w14:val="none"/>
        </w:rPr>
        <w:t>lagged behind</w:t>
      </w:r>
      <w:proofErr w:type="gramEnd"/>
      <w:r w:rsidRPr="00F96852">
        <w:rPr>
          <w:rFonts w:ascii="Helvetica" w:eastAsia="Times New Roman" w:hAnsi="Helvetica" w:cs="Times New Roman"/>
          <w:color w:val="333333"/>
          <w:kern w:val="0"/>
          <w14:ligatures w14:val="none"/>
        </w:rPr>
        <w:t xml:space="preserve"> experience. Its absence now performs the opposite function. It renders that experience private, fragmented, and politically diffuse. The conference was about those aging. The silence is about them too. And silence, sustained over years of mounting need, is not oversight. It is governance by omission.</w:t>
      </w:r>
    </w:p>
    <w:p w14:paraId="78FD09E2" w14:textId="77777777" w:rsidR="002F42EF" w:rsidRDefault="002F42EF"/>
    <w:sectPr w:rsidR="002F42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852"/>
    <w:rsid w:val="000222F8"/>
    <w:rsid w:val="002F42EF"/>
    <w:rsid w:val="00367D5C"/>
    <w:rsid w:val="007F6C0E"/>
    <w:rsid w:val="0087771D"/>
    <w:rsid w:val="00F96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BDCFB6"/>
  <w15:chartTrackingRefBased/>
  <w15:docId w15:val="{7C8A6274-3C0F-4F47-A450-F87CF965A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80"/>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pPr>
  </w:style>
  <w:style w:type="paragraph" w:styleId="Heading1">
    <w:name w:val="heading 1"/>
    <w:basedOn w:val="Normal"/>
    <w:next w:val="Normal"/>
    <w:link w:val="Heading1Char"/>
    <w:uiPriority w:val="9"/>
    <w:qFormat/>
    <w:rsid w:val="00F968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968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68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68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68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685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685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685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685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968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68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68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68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68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68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68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6852"/>
    <w:rPr>
      <w:rFonts w:eastAsiaTheme="majorEastAsia" w:cstheme="majorBidi"/>
      <w:color w:val="272727" w:themeColor="text1" w:themeTint="D8"/>
    </w:rPr>
  </w:style>
  <w:style w:type="paragraph" w:styleId="Title">
    <w:name w:val="Title"/>
    <w:basedOn w:val="Normal"/>
    <w:next w:val="Normal"/>
    <w:link w:val="TitleChar"/>
    <w:uiPriority w:val="10"/>
    <w:qFormat/>
    <w:rsid w:val="00F9685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68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6852"/>
    <w:pPr>
      <w:numPr>
        <w:ilvl w:val="1"/>
      </w:numPr>
      <w:spacing w:after="160"/>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68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685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96852"/>
    <w:rPr>
      <w:i/>
      <w:iCs/>
      <w:color w:val="404040" w:themeColor="text1" w:themeTint="BF"/>
    </w:rPr>
  </w:style>
  <w:style w:type="paragraph" w:styleId="ListParagraph">
    <w:name w:val="List Paragraph"/>
    <w:basedOn w:val="Normal"/>
    <w:uiPriority w:val="34"/>
    <w:qFormat/>
    <w:rsid w:val="00F96852"/>
    <w:pPr>
      <w:ind w:left="720"/>
      <w:contextualSpacing/>
    </w:pPr>
  </w:style>
  <w:style w:type="character" w:styleId="IntenseEmphasis">
    <w:name w:val="Intense Emphasis"/>
    <w:basedOn w:val="DefaultParagraphFont"/>
    <w:uiPriority w:val="21"/>
    <w:qFormat/>
    <w:rsid w:val="00F96852"/>
    <w:rPr>
      <w:i/>
      <w:iCs/>
      <w:color w:val="0F4761" w:themeColor="accent1" w:themeShade="BF"/>
    </w:rPr>
  </w:style>
  <w:style w:type="paragraph" w:styleId="IntenseQuote">
    <w:name w:val="Intense Quote"/>
    <w:basedOn w:val="Normal"/>
    <w:next w:val="Normal"/>
    <w:link w:val="IntenseQuoteChar"/>
    <w:uiPriority w:val="30"/>
    <w:qFormat/>
    <w:rsid w:val="00F968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6852"/>
    <w:rPr>
      <w:i/>
      <w:iCs/>
      <w:color w:val="0F4761" w:themeColor="accent1" w:themeShade="BF"/>
    </w:rPr>
  </w:style>
  <w:style w:type="character" w:styleId="IntenseReference">
    <w:name w:val="Intense Reference"/>
    <w:basedOn w:val="DefaultParagraphFont"/>
    <w:uiPriority w:val="32"/>
    <w:qFormat/>
    <w:rsid w:val="00F96852"/>
    <w:rPr>
      <w:b/>
      <w:bCs/>
      <w:smallCaps/>
      <w:color w:val="0F4761" w:themeColor="accent1" w:themeShade="BF"/>
      <w:spacing w:val="5"/>
    </w:rPr>
  </w:style>
  <w:style w:type="character" w:styleId="Strong">
    <w:name w:val="Strong"/>
    <w:basedOn w:val="DefaultParagraphFont"/>
    <w:uiPriority w:val="22"/>
    <w:qFormat/>
    <w:rsid w:val="00F96852"/>
    <w:rPr>
      <w:b/>
      <w:bCs/>
    </w:rPr>
  </w:style>
  <w:style w:type="character" w:styleId="Emphasis">
    <w:name w:val="Emphasis"/>
    <w:basedOn w:val="DefaultParagraphFont"/>
    <w:uiPriority w:val="20"/>
    <w:qFormat/>
    <w:rsid w:val="00F96852"/>
    <w:rPr>
      <w:i/>
      <w:iCs/>
    </w:rPr>
  </w:style>
  <w:style w:type="character" w:styleId="Hyperlink">
    <w:name w:val="Hyperlink"/>
    <w:basedOn w:val="DefaultParagraphFont"/>
    <w:uiPriority w:val="99"/>
    <w:semiHidden/>
    <w:unhideWhenUsed/>
    <w:rsid w:val="00F96852"/>
    <w:rPr>
      <w:color w:val="0000FF"/>
      <w:u w:val="single"/>
    </w:rPr>
  </w:style>
  <w:style w:type="character" w:customStyle="1" w:styleId="apple-converted-space">
    <w:name w:val="apple-converted-space"/>
    <w:basedOn w:val="DefaultParagraphFont"/>
    <w:rsid w:val="00F96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l.gov/sites/default/files/about-acl/ACL-FY2024-CJ.pdf" TargetMode="External"/><Relationship Id="rId3" Type="http://schemas.openxmlformats.org/officeDocument/2006/relationships/webSettings" Target="webSettings.xml"/><Relationship Id="rId7" Type="http://schemas.openxmlformats.org/officeDocument/2006/relationships/hyperlink" Target="https://www.americangeriatrics.org/geriatrics-profession/about-geriatrics/workforc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cl.gov/sites/default/files/about-acl/2015-WHCOA-Report.pdf" TargetMode="External"/><Relationship Id="rId11" Type="http://schemas.openxmlformats.org/officeDocument/2006/relationships/fontTable" Target="fontTable.xml"/><Relationship Id="rId5" Type="http://schemas.openxmlformats.org/officeDocument/2006/relationships/hyperlink" Target="https://georgewbush-whitehouse.archives.gov/whcoa/" TargetMode="External"/><Relationship Id="rId10" Type="http://schemas.openxmlformats.org/officeDocument/2006/relationships/hyperlink" Target="https://www.census.gov/programs-surveys/popproj.html" TargetMode="External"/><Relationship Id="rId4" Type="http://schemas.openxmlformats.org/officeDocument/2006/relationships/hyperlink" Target="https://www.archives.gov/research/alic/reference/aging/white-house-conference-1961" TargetMode="External"/><Relationship Id="rId9" Type="http://schemas.openxmlformats.org/officeDocument/2006/relationships/hyperlink" Target="https://corpgov.law.harvard.edu/2022/03/02/private-equity-and-health-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1187</Words>
  <Characters>6309</Characters>
  <Application>Microsoft Office Word</Application>
  <DocSecurity>0</DocSecurity>
  <Lines>140</Lines>
  <Paragraphs>34</Paragraphs>
  <ScaleCrop>false</ScaleCrop>
  <Company/>
  <LinksUpToDate>false</LinksUpToDate>
  <CharactersWithSpaces>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Lomastro</dc:creator>
  <cp:keywords/>
  <dc:description/>
  <cp:lastModifiedBy>James Lomastro</cp:lastModifiedBy>
  <cp:revision>3</cp:revision>
  <dcterms:created xsi:type="dcterms:W3CDTF">2026-04-02T19:24:00Z</dcterms:created>
  <dcterms:modified xsi:type="dcterms:W3CDTF">2026-04-02T19:25:00Z</dcterms:modified>
</cp:coreProperties>
</file>