
<file path=[Content_Types].xml><?xml version="1.0" encoding="utf-8"?>
<Types xmlns="http://schemas.openxmlformats.org/package/2006/content-types">
  <Default Extension="png" ContentType="image/png"/>
  <Default Extension="tmp"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3F56723" w14:textId="77777777" w:rsidR="003B167D" w:rsidRDefault="003B167D">
      <w:pPr>
        <w:pStyle w:val="Title"/>
        <w:rPr>
          <w:b/>
          <w:bCs/>
        </w:rPr>
      </w:pPr>
      <w:bookmarkStart w:id="0" w:name="_Hlk219202099"/>
      <w:bookmarkEnd w:id="0"/>
    </w:p>
    <w:p w14:paraId="3BE1F69D" w14:textId="77777777" w:rsidR="003B167D" w:rsidRDefault="003B167D">
      <w:pPr>
        <w:pStyle w:val="Title"/>
        <w:rPr>
          <w:b/>
          <w:bCs/>
        </w:rPr>
      </w:pPr>
    </w:p>
    <w:p w14:paraId="4CDD4B77" w14:textId="61778B81" w:rsidR="007D6CCF" w:rsidRPr="00BE779C" w:rsidRDefault="007D6CCF" w:rsidP="00674D40">
      <w:pPr>
        <w:pStyle w:val="Heading1"/>
        <w:rPr>
          <w:sz w:val="16"/>
          <w:szCs w:val="16"/>
        </w:rPr>
      </w:pPr>
      <w:r w:rsidRPr="00674D40">
        <w:rPr>
          <w:sz w:val="52"/>
          <w:szCs w:val="52"/>
        </w:rPr>
        <w:t>Optimizing the State Home Care Program and Eliminating Waitlists</w:t>
      </w:r>
    </w:p>
    <w:p w14:paraId="42C1849C" w14:textId="5BB11008" w:rsidR="007D6CCF" w:rsidRPr="00FF618E" w:rsidRDefault="007D6CCF" w:rsidP="00674D40">
      <w:pPr>
        <w:rPr>
          <w:rFonts w:asciiTheme="majorHAnsi" w:hAnsiTheme="majorHAnsi" w:cstheme="majorHAnsi"/>
          <w:b/>
          <w:sz w:val="28"/>
          <w:szCs w:val="28"/>
        </w:rPr>
      </w:pPr>
      <w:r w:rsidRPr="00FF618E">
        <w:rPr>
          <w:rFonts w:asciiTheme="majorHAnsi" w:hAnsiTheme="majorHAnsi" w:cstheme="majorHAnsi"/>
          <w:b/>
          <w:sz w:val="28"/>
          <w:szCs w:val="28"/>
        </w:rPr>
        <w:t>Policy Memo Prepared</w:t>
      </w:r>
      <w:r w:rsidR="00743427" w:rsidRPr="00FF618E">
        <w:rPr>
          <w:rFonts w:asciiTheme="majorHAnsi" w:hAnsiTheme="majorHAnsi" w:cstheme="majorHAnsi"/>
          <w:b/>
          <w:sz w:val="28"/>
          <w:szCs w:val="28"/>
        </w:rPr>
        <w:t xml:space="preserve"> by Peter Tiernan</w:t>
      </w:r>
      <w:r w:rsidRPr="00FF618E">
        <w:rPr>
          <w:rFonts w:asciiTheme="majorHAnsi" w:hAnsiTheme="majorHAnsi" w:cstheme="majorHAnsi"/>
          <w:b/>
          <w:sz w:val="28"/>
          <w:szCs w:val="28"/>
        </w:rPr>
        <w:t xml:space="preserve"> for Members of Dignity Alliance Massachusetts</w:t>
      </w:r>
    </w:p>
    <w:p w14:paraId="32483A79" w14:textId="2776E190" w:rsidR="007D6CCF" w:rsidRPr="00FF618E" w:rsidRDefault="00743427" w:rsidP="00674D40">
      <w:pPr>
        <w:rPr>
          <w:rFonts w:asciiTheme="majorHAnsi" w:hAnsiTheme="majorHAnsi" w:cstheme="majorHAnsi"/>
          <w:i/>
          <w:iCs/>
          <w:sz w:val="28"/>
          <w:szCs w:val="28"/>
        </w:rPr>
      </w:pPr>
      <w:r w:rsidRPr="00FF618E">
        <w:rPr>
          <w:rFonts w:asciiTheme="majorHAnsi" w:hAnsiTheme="majorHAnsi" w:cstheme="majorHAnsi"/>
          <w:i/>
          <w:iCs/>
          <w:sz w:val="28"/>
          <w:szCs w:val="28"/>
        </w:rPr>
        <w:t>Topic Areas: Home and Community Based Services, Public Finance and Administration, Medicaid HCBS Waivers, Elder Care Services Portfolio</w:t>
      </w:r>
    </w:p>
    <w:p w14:paraId="403CD367" w14:textId="59388A19" w:rsidR="00DC0CBC" w:rsidRPr="00FF618E" w:rsidRDefault="00743427" w:rsidP="00FF618E">
      <w:pPr>
        <w:rPr>
          <w:sz w:val="24"/>
          <w:szCs w:val="24"/>
        </w:rPr>
      </w:pPr>
      <w:r w:rsidRPr="00FF618E">
        <w:rPr>
          <w:sz w:val="24"/>
          <w:szCs w:val="24"/>
        </w:rPr>
        <w:t>Version 1.</w:t>
      </w:r>
      <w:r w:rsidR="000F00C0" w:rsidRPr="00FF618E">
        <w:rPr>
          <w:sz w:val="24"/>
          <w:szCs w:val="24"/>
        </w:rPr>
        <w:t>1</w:t>
      </w:r>
      <w:r w:rsidRPr="00FF618E">
        <w:rPr>
          <w:sz w:val="24"/>
          <w:szCs w:val="24"/>
        </w:rPr>
        <w:t xml:space="preserve">, </w:t>
      </w:r>
      <w:r w:rsidR="002B16F5" w:rsidRPr="00FF618E">
        <w:rPr>
          <w:sz w:val="24"/>
          <w:szCs w:val="24"/>
        </w:rPr>
        <w:t>March</w:t>
      </w:r>
      <w:r w:rsidRPr="00FF618E">
        <w:rPr>
          <w:sz w:val="24"/>
          <w:szCs w:val="24"/>
        </w:rPr>
        <w:t xml:space="preserve"> 2026</w:t>
      </w:r>
    </w:p>
    <w:p w14:paraId="6D6272A3" w14:textId="77777777" w:rsidR="00DC0CBC" w:rsidRDefault="00DC0CBC">
      <w:pPr>
        <w:pStyle w:val="Title"/>
        <w:rPr>
          <w:b/>
          <w:bCs/>
          <w:color w:val="0070C0"/>
          <w:sz w:val="24"/>
          <w:szCs w:val="24"/>
        </w:rPr>
      </w:pPr>
    </w:p>
    <w:p w14:paraId="4DD613F5" w14:textId="2F002B7E" w:rsidR="007D3853" w:rsidRPr="00674D40" w:rsidRDefault="00C239DD" w:rsidP="00674D40">
      <w:pPr>
        <w:pStyle w:val="ListParagraph"/>
        <w:numPr>
          <w:ilvl w:val="0"/>
          <w:numId w:val="36"/>
        </w:numPr>
        <w:rPr>
          <w:color w:val="0070C0"/>
          <w:sz w:val="24"/>
          <w:szCs w:val="24"/>
        </w:rPr>
      </w:pPr>
      <w:r w:rsidRPr="00674D40">
        <w:rPr>
          <w:color w:val="0070C0"/>
          <w:sz w:val="24"/>
          <w:szCs w:val="24"/>
        </w:rPr>
        <w:t xml:space="preserve">THE HEALEY-DRISCOLL ADMINISTRATION SHOULD TAKE STEPS TO </w:t>
      </w:r>
      <w:r w:rsidR="00E20141" w:rsidRPr="00674D40">
        <w:rPr>
          <w:color w:val="0070C0"/>
          <w:sz w:val="24"/>
          <w:szCs w:val="24"/>
        </w:rPr>
        <w:t xml:space="preserve">GENERATE </w:t>
      </w:r>
      <w:r w:rsidR="00CB28CB" w:rsidRPr="00674D40">
        <w:rPr>
          <w:color w:val="0070C0"/>
          <w:sz w:val="24"/>
          <w:szCs w:val="24"/>
        </w:rPr>
        <w:t xml:space="preserve">AT LEAST </w:t>
      </w:r>
      <w:r w:rsidR="00E20141" w:rsidRPr="00674D40">
        <w:rPr>
          <w:color w:val="0070C0"/>
          <w:sz w:val="24"/>
          <w:szCs w:val="24"/>
        </w:rPr>
        <w:t xml:space="preserve">$50M </w:t>
      </w:r>
      <w:r w:rsidR="00527512" w:rsidRPr="00674D40">
        <w:rPr>
          <w:color w:val="0070C0"/>
          <w:sz w:val="24"/>
          <w:szCs w:val="24"/>
        </w:rPr>
        <w:t xml:space="preserve">PER YEAR </w:t>
      </w:r>
      <w:r w:rsidR="00CF20C8" w:rsidRPr="00674D40">
        <w:rPr>
          <w:color w:val="0070C0"/>
          <w:sz w:val="24"/>
          <w:szCs w:val="24"/>
        </w:rPr>
        <w:t>IN</w:t>
      </w:r>
      <w:r w:rsidR="00D916A8" w:rsidRPr="00674D40">
        <w:rPr>
          <w:color w:val="0070C0"/>
          <w:sz w:val="24"/>
          <w:szCs w:val="24"/>
        </w:rPr>
        <w:t xml:space="preserve"> NEW</w:t>
      </w:r>
      <w:r w:rsidR="00527512" w:rsidRPr="00674D40">
        <w:rPr>
          <w:color w:val="0070C0"/>
          <w:sz w:val="24"/>
          <w:szCs w:val="24"/>
        </w:rPr>
        <w:t xml:space="preserve"> F</w:t>
      </w:r>
      <w:r w:rsidR="00E51AD9" w:rsidRPr="00674D40">
        <w:rPr>
          <w:color w:val="0070C0"/>
          <w:sz w:val="24"/>
          <w:szCs w:val="24"/>
        </w:rPr>
        <w:t xml:space="preserve">EDERAL FINANCIAL PARTICIPATION </w:t>
      </w:r>
      <w:r w:rsidR="00527512" w:rsidRPr="00674D40">
        <w:rPr>
          <w:color w:val="0070C0"/>
          <w:sz w:val="24"/>
          <w:szCs w:val="24"/>
        </w:rPr>
        <w:t>REVENUE</w:t>
      </w:r>
      <w:r w:rsidR="00E20141" w:rsidRPr="00674D40">
        <w:rPr>
          <w:color w:val="0070C0"/>
          <w:sz w:val="24"/>
          <w:szCs w:val="24"/>
        </w:rPr>
        <w:t xml:space="preserve"> </w:t>
      </w:r>
      <w:r w:rsidR="00527512" w:rsidRPr="00674D40">
        <w:rPr>
          <w:color w:val="0070C0"/>
          <w:sz w:val="24"/>
          <w:szCs w:val="24"/>
        </w:rPr>
        <w:t xml:space="preserve">BY CONVERTING THE </w:t>
      </w:r>
      <w:r w:rsidR="002F229E" w:rsidRPr="00674D40">
        <w:rPr>
          <w:color w:val="0070C0"/>
          <w:sz w:val="24"/>
          <w:szCs w:val="24"/>
        </w:rPr>
        <w:t>EXECUTIVE OFFICE OF AGING &amp; INDEPENDENCE</w:t>
      </w:r>
      <w:r w:rsidR="00527512" w:rsidRPr="00674D40">
        <w:rPr>
          <w:color w:val="0070C0"/>
          <w:sz w:val="24"/>
          <w:szCs w:val="24"/>
        </w:rPr>
        <w:t xml:space="preserve"> E</w:t>
      </w:r>
      <w:r w:rsidR="004534D2" w:rsidRPr="00674D40">
        <w:rPr>
          <w:color w:val="0070C0"/>
          <w:sz w:val="24"/>
          <w:szCs w:val="24"/>
        </w:rPr>
        <w:t xml:space="preserve">NHANCED COMMUNITY OPTIONS </w:t>
      </w:r>
      <w:r w:rsidR="00527512" w:rsidRPr="00674D40">
        <w:rPr>
          <w:color w:val="0070C0"/>
          <w:sz w:val="24"/>
          <w:szCs w:val="24"/>
        </w:rPr>
        <w:t>PROGRAM</w:t>
      </w:r>
      <w:r w:rsidR="006E4B75" w:rsidRPr="00674D40">
        <w:rPr>
          <w:color w:val="0070C0"/>
          <w:sz w:val="24"/>
          <w:szCs w:val="24"/>
        </w:rPr>
        <w:t xml:space="preserve"> (“ECOP”)</w:t>
      </w:r>
      <w:r w:rsidR="00527512" w:rsidRPr="00674D40">
        <w:rPr>
          <w:color w:val="0070C0"/>
          <w:sz w:val="24"/>
          <w:szCs w:val="24"/>
        </w:rPr>
        <w:t xml:space="preserve"> INTO </w:t>
      </w:r>
      <w:r w:rsidR="00617E5F" w:rsidRPr="00674D40">
        <w:rPr>
          <w:color w:val="0070C0"/>
          <w:sz w:val="24"/>
          <w:szCs w:val="24"/>
        </w:rPr>
        <w:t>MEDICAID</w:t>
      </w:r>
      <w:r w:rsidR="00A550A1" w:rsidRPr="00674D40">
        <w:rPr>
          <w:color w:val="0070C0"/>
          <w:sz w:val="24"/>
          <w:szCs w:val="24"/>
        </w:rPr>
        <w:t>-</w:t>
      </w:r>
      <w:r w:rsidR="00617E5F" w:rsidRPr="00674D40">
        <w:rPr>
          <w:color w:val="0070C0"/>
          <w:sz w:val="24"/>
          <w:szCs w:val="24"/>
        </w:rPr>
        <w:t xml:space="preserve">REIMBURSABLE </w:t>
      </w:r>
      <w:r w:rsidR="00A550A1" w:rsidRPr="00674D40">
        <w:rPr>
          <w:color w:val="0070C0"/>
          <w:sz w:val="24"/>
          <w:szCs w:val="24"/>
        </w:rPr>
        <w:t>ACTIVITY</w:t>
      </w:r>
      <w:r w:rsidR="00036D73" w:rsidRPr="00674D40">
        <w:rPr>
          <w:color w:val="0070C0"/>
          <w:sz w:val="24"/>
          <w:szCs w:val="24"/>
        </w:rPr>
        <w:t>. TH</w:t>
      </w:r>
      <w:r w:rsidR="0091189F" w:rsidRPr="00674D40">
        <w:rPr>
          <w:color w:val="0070C0"/>
          <w:sz w:val="24"/>
          <w:szCs w:val="24"/>
        </w:rPr>
        <w:t xml:space="preserve">ESE NEW REVENUES WILL </w:t>
      </w:r>
      <w:r w:rsidR="000C706D" w:rsidRPr="00674D40">
        <w:rPr>
          <w:color w:val="0070C0"/>
          <w:sz w:val="24"/>
          <w:szCs w:val="24"/>
        </w:rPr>
        <w:t>ENABLE</w:t>
      </w:r>
      <w:r w:rsidR="000A636A" w:rsidRPr="00674D40">
        <w:rPr>
          <w:color w:val="0070C0"/>
          <w:sz w:val="24"/>
          <w:szCs w:val="24"/>
        </w:rPr>
        <w:t xml:space="preserve"> THE ELIMINATION OF </w:t>
      </w:r>
      <w:r w:rsidR="00835DC7" w:rsidRPr="00674D40">
        <w:rPr>
          <w:color w:val="0070C0"/>
          <w:sz w:val="24"/>
          <w:szCs w:val="24"/>
        </w:rPr>
        <w:t xml:space="preserve">RECENT AND CONCERNING </w:t>
      </w:r>
      <w:r w:rsidR="000A636A" w:rsidRPr="00674D40">
        <w:rPr>
          <w:color w:val="0070C0"/>
          <w:sz w:val="24"/>
          <w:szCs w:val="24"/>
        </w:rPr>
        <w:t>HOME CARE WAITLISTS</w:t>
      </w:r>
      <w:r w:rsidR="00AD1F51" w:rsidRPr="00674D40">
        <w:rPr>
          <w:color w:val="0070C0"/>
          <w:sz w:val="24"/>
          <w:szCs w:val="24"/>
        </w:rPr>
        <w:t xml:space="preserve"> WHILE SUBSTANTIALLY REDUCING THE NET COST OF THE STATE HOME CARE PROGRAM TO THE GENERAL FUND.</w:t>
      </w:r>
    </w:p>
    <w:p w14:paraId="0E8EFDEF" w14:textId="00D53B18" w:rsidR="00F35DA5" w:rsidRPr="00674D40" w:rsidRDefault="00A134A4" w:rsidP="00674D40">
      <w:pPr>
        <w:pStyle w:val="ListParagraph"/>
        <w:numPr>
          <w:ilvl w:val="0"/>
          <w:numId w:val="36"/>
        </w:numPr>
        <w:rPr>
          <w:color w:val="0070C0"/>
          <w:sz w:val="24"/>
          <w:szCs w:val="24"/>
        </w:rPr>
      </w:pPr>
      <w:r w:rsidRPr="00674D40">
        <w:rPr>
          <w:color w:val="0070C0"/>
          <w:sz w:val="24"/>
          <w:szCs w:val="24"/>
        </w:rPr>
        <w:t xml:space="preserve">BY CONVERTING </w:t>
      </w:r>
      <w:r w:rsidR="00B16A40" w:rsidRPr="00674D40">
        <w:rPr>
          <w:color w:val="0070C0"/>
          <w:sz w:val="24"/>
          <w:szCs w:val="24"/>
        </w:rPr>
        <w:t>THE LONG-STANDING</w:t>
      </w:r>
      <w:r w:rsidR="006A6F85" w:rsidRPr="00674D40">
        <w:rPr>
          <w:color w:val="0070C0"/>
          <w:sz w:val="24"/>
          <w:szCs w:val="24"/>
        </w:rPr>
        <w:t xml:space="preserve"> ECOP</w:t>
      </w:r>
      <w:r w:rsidR="00144250" w:rsidRPr="00674D40">
        <w:rPr>
          <w:color w:val="0070C0"/>
          <w:sz w:val="24"/>
          <w:szCs w:val="24"/>
        </w:rPr>
        <w:t xml:space="preserve"> </w:t>
      </w:r>
      <w:r w:rsidR="008F14F3" w:rsidRPr="00674D40">
        <w:rPr>
          <w:color w:val="0070C0"/>
          <w:sz w:val="24"/>
          <w:szCs w:val="24"/>
        </w:rPr>
        <w:t xml:space="preserve">PROGRAM </w:t>
      </w:r>
      <w:r w:rsidR="000D4A45" w:rsidRPr="00674D40">
        <w:rPr>
          <w:color w:val="0070C0"/>
          <w:sz w:val="24"/>
          <w:szCs w:val="24"/>
        </w:rPr>
        <w:t xml:space="preserve">TO A 1915(C) WAIVER PROGRAM, </w:t>
      </w:r>
      <w:r w:rsidR="007D3853" w:rsidRPr="00674D40">
        <w:rPr>
          <w:color w:val="0070C0"/>
          <w:sz w:val="24"/>
          <w:szCs w:val="24"/>
        </w:rPr>
        <w:t>All INCOME-ELIGIBLE ELDE</w:t>
      </w:r>
      <w:r w:rsidR="008B2AEE" w:rsidRPr="00674D40">
        <w:rPr>
          <w:color w:val="0070C0"/>
          <w:sz w:val="24"/>
          <w:szCs w:val="24"/>
        </w:rPr>
        <w:t>RS</w:t>
      </w:r>
      <w:r w:rsidR="00A3102E" w:rsidRPr="00674D40">
        <w:rPr>
          <w:color w:val="0070C0"/>
          <w:sz w:val="24"/>
          <w:szCs w:val="24"/>
        </w:rPr>
        <w:t xml:space="preserve"> (</w:t>
      </w:r>
      <w:r w:rsidR="00DD6D40" w:rsidRPr="00674D40">
        <w:rPr>
          <w:color w:val="0070C0"/>
          <w:sz w:val="24"/>
          <w:szCs w:val="24"/>
        </w:rPr>
        <w:t xml:space="preserve">approximately &lt;$35,000 per year; </w:t>
      </w:r>
      <w:r w:rsidR="00D648EA" w:rsidRPr="00674D40">
        <w:rPr>
          <w:color w:val="0070C0"/>
          <w:sz w:val="24"/>
          <w:szCs w:val="24"/>
        </w:rPr>
        <w:t xml:space="preserve">90% </w:t>
      </w:r>
      <w:r w:rsidR="003875F9" w:rsidRPr="00674D40">
        <w:rPr>
          <w:color w:val="0070C0"/>
          <w:sz w:val="24"/>
          <w:szCs w:val="24"/>
        </w:rPr>
        <w:t>of current program census)</w:t>
      </w:r>
      <w:r w:rsidR="00736FCC" w:rsidRPr="00674D40">
        <w:rPr>
          <w:color w:val="0070C0"/>
          <w:sz w:val="24"/>
          <w:szCs w:val="24"/>
        </w:rPr>
        <w:t xml:space="preserve"> WILL HAVE ACCESS TO ENH</w:t>
      </w:r>
      <w:r w:rsidR="006F1425" w:rsidRPr="00674D40">
        <w:rPr>
          <w:color w:val="0070C0"/>
          <w:sz w:val="24"/>
          <w:szCs w:val="24"/>
        </w:rPr>
        <w:t>ANCED SERVICE PLANS</w:t>
      </w:r>
      <w:r w:rsidR="008B2AEE" w:rsidRPr="00674D40">
        <w:rPr>
          <w:color w:val="0070C0"/>
          <w:sz w:val="24"/>
          <w:szCs w:val="24"/>
        </w:rPr>
        <w:t>.</w:t>
      </w:r>
      <w:r w:rsidR="005B7375" w:rsidRPr="00674D40">
        <w:rPr>
          <w:color w:val="0070C0"/>
          <w:sz w:val="24"/>
          <w:szCs w:val="24"/>
        </w:rPr>
        <w:t xml:space="preserve"> </w:t>
      </w:r>
    </w:p>
    <w:p w14:paraId="7F21E3BE" w14:textId="13BB714B" w:rsidR="005B7375" w:rsidRPr="00674D40" w:rsidRDefault="00F35DA5" w:rsidP="00674D40">
      <w:pPr>
        <w:pStyle w:val="ListParagraph"/>
        <w:numPr>
          <w:ilvl w:val="0"/>
          <w:numId w:val="36"/>
        </w:numPr>
        <w:rPr>
          <w:color w:val="0070C0"/>
          <w:sz w:val="24"/>
          <w:szCs w:val="24"/>
        </w:rPr>
      </w:pPr>
      <w:r w:rsidRPr="00674D40">
        <w:rPr>
          <w:color w:val="0070C0"/>
          <w:sz w:val="24"/>
          <w:szCs w:val="24"/>
          <w:u w:val="single"/>
        </w:rPr>
        <w:t xml:space="preserve">AFTER </w:t>
      </w:r>
      <w:r w:rsidR="007E7B60" w:rsidRPr="00674D40">
        <w:rPr>
          <w:color w:val="0070C0"/>
          <w:sz w:val="24"/>
          <w:szCs w:val="24"/>
        </w:rPr>
        <w:t>FACTORING</w:t>
      </w:r>
      <w:r w:rsidRPr="00674D40">
        <w:rPr>
          <w:color w:val="0070C0"/>
          <w:sz w:val="24"/>
          <w:szCs w:val="24"/>
        </w:rPr>
        <w:t xml:space="preserve"> </w:t>
      </w:r>
      <w:r w:rsidR="007E7B60" w:rsidRPr="00674D40">
        <w:rPr>
          <w:color w:val="0070C0"/>
          <w:sz w:val="24"/>
          <w:szCs w:val="24"/>
        </w:rPr>
        <w:t xml:space="preserve">FOR </w:t>
      </w:r>
      <w:r w:rsidR="006214D9" w:rsidRPr="00674D40">
        <w:rPr>
          <w:color w:val="0070C0"/>
          <w:sz w:val="24"/>
          <w:szCs w:val="24"/>
        </w:rPr>
        <w:t xml:space="preserve">FULLY </w:t>
      </w:r>
      <w:r w:rsidR="001B7CED" w:rsidRPr="00674D40">
        <w:rPr>
          <w:color w:val="0070C0"/>
          <w:sz w:val="24"/>
          <w:szCs w:val="24"/>
        </w:rPr>
        <w:t xml:space="preserve">SUPPORTING </w:t>
      </w:r>
      <w:r w:rsidR="0069325A" w:rsidRPr="00674D40">
        <w:rPr>
          <w:color w:val="0070C0"/>
          <w:sz w:val="24"/>
          <w:szCs w:val="24"/>
        </w:rPr>
        <w:t>WAITLISTED CONSUMERS (950 individuals as of 9/26)</w:t>
      </w:r>
      <w:r w:rsidR="001B7CED" w:rsidRPr="00674D40">
        <w:rPr>
          <w:color w:val="0070C0"/>
          <w:sz w:val="24"/>
          <w:szCs w:val="24"/>
        </w:rPr>
        <w:t xml:space="preserve">, THE NET COST TO THE GENERAL FUND WILL STILL BE </w:t>
      </w:r>
      <w:r w:rsidR="002F2FB1" w:rsidRPr="00674D40">
        <w:rPr>
          <w:color w:val="0070C0"/>
          <w:sz w:val="24"/>
          <w:szCs w:val="24"/>
        </w:rPr>
        <w:t xml:space="preserve">35% LESS THAN </w:t>
      </w:r>
      <w:r w:rsidR="006354D8" w:rsidRPr="00674D40">
        <w:rPr>
          <w:color w:val="0070C0"/>
          <w:sz w:val="24"/>
          <w:szCs w:val="24"/>
        </w:rPr>
        <w:t>THE COST OF CURRENT SERVICES.</w:t>
      </w:r>
      <w:r w:rsidR="00D2736F" w:rsidRPr="00674D40">
        <w:rPr>
          <w:color w:val="0070C0"/>
          <w:sz w:val="24"/>
          <w:szCs w:val="24"/>
        </w:rPr>
        <w:t xml:space="preserve"> </w:t>
      </w:r>
      <w:r w:rsidR="004C1DF0" w:rsidRPr="00674D40">
        <w:rPr>
          <w:color w:val="0070C0"/>
          <w:sz w:val="24"/>
          <w:szCs w:val="24"/>
        </w:rPr>
        <w:t xml:space="preserve">ANNUALIZED REDUCED </w:t>
      </w:r>
      <w:r w:rsidR="00E14DA5" w:rsidRPr="00674D40">
        <w:rPr>
          <w:color w:val="0070C0"/>
          <w:sz w:val="24"/>
          <w:szCs w:val="24"/>
        </w:rPr>
        <w:t>PROGRAM COSTS IS ESTIMATED AT $38.5M</w:t>
      </w:r>
      <w:r w:rsidR="007E7B60" w:rsidRPr="00674D40">
        <w:rPr>
          <w:color w:val="0070C0"/>
          <w:sz w:val="24"/>
          <w:szCs w:val="24"/>
        </w:rPr>
        <w:t>.</w:t>
      </w:r>
      <w:r w:rsidR="004C1DF0" w:rsidRPr="00674D40">
        <w:rPr>
          <w:color w:val="0070C0"/>
          <w:sz w:val="24"/>
          <w:szCs w:val="24"/>
        </w:rPr>
        <w:t xml:space="preserve"> </w:t>
      </w:r>
    </w:p>
    <w:p w14:paraId="41E91333" w14:textId="77777777" w:rsidR="002E77AE" w:rsidRPr="00674D40" w:rsidRDefault="002E77AE" w:rsidP="00674D40">
      <w:pPr>
        <w:pStyle w:val="ListParagraph"/>
        <w:rPr>
          <w:rFonts w:cstheme="minorHAnsi"/>
          <w:color w:val="0070C0"/>
          <w:sz w:val="24"/>
          <w:szCs w:val="24"/>
        </w:rPr>
      </w:pPr>
    </w:p>
    <w:p w14:paraId="7D9C5A05" w14:textId="77777777" w:rsidR="00E8776C" w:rsidRDefault="00E8776C" w:rsidP="00E8776C">
      <w:pPr>
        <w:pStyle w:val="ListParagraph"/>
        <w:rPr>
          <w:rFonts w:cstheme="minorHAnsi"/>
          <w:color w:val="0070C0"/>
          <w:sz w:val="24"/>
          <w:szCs w:val="24"/>
        </w:rPr>
      </w:pPr>
    </w:p>
    <w:p w14:paraId="07986D0E" w14:textId="77777777" w:rsidR="00E8776C" w:rsidRDefault="00E8776C" w:rsidP="00E8776C">
      <w:pPr>
        <w:pStyle w:val="Title"/>
        <w:rPr>
          <w:rFonts w:asciiTheme="minorHAnsi" w:hAnsiTheme="minorHAnsi" w:cstheme="minorHAnsi"/>
          <w:color w:val="0070C0"/>
          <w:sz w:val="24"/>
          <w:szCs w:val="24"/>
        </w:rPr>
      </w:pPr>
    </w:p>
    <w:p w14:paraId="2CAFE7C7" w14:textId="77777777" w:rsidR="00E8776C" w:rsidRPr="00750699" w:rsidRDefault="00E8776C" w:rsidP="00E8776C">
      <w:pPr>
        <w:pStyle w:val="Title"/>
        <w:rPr>
          <w:rFonts w:asciiTheme="minorHAnsi" w:hAnsiTheme="minorHAnsi" w:cstheme="minorHAnsi"/>
          <w:color w:val="0070C0"/>
          <w:sz w:val="24"/>
          <w:szCs w:val="24"/>
        </w:rPr>
      </w:pPr>
    </w:p>
    <w:p w14:paraId="15DBFD38" w14:textId="0EE1D8AC" w:rsidR="00D2736F" w:rsidRPr="007E7B60" w:rsidRDefault="00D2736F">
      <w:pPr>
        <w:pStyle w:val="Title"/>
        <w:rPr>
          <w:color w:val="0070C0"/>
          <w:sz w:val="24"/>
          <w:szCs w:val="24"/>
        </w:rPr>
      </w:pPr>
    </w:p>
    <w:p w14:paraId="7FB624A5" w14:textId="77777777" w:rsidR="00D22667" w:rsidRPr="00835DC7" w:rsidRDefault="00D22667">
      <w:pPr>
        <w:pStyle w:val="Title"/>
        <w:rPr>
          <w:b/>
          <w:bCs/>
          <w:color w:val="0070C0"/>
          <w:sz w:val="24"/>
          <w:szCs w:val="24"/>
        </w:rPr>
      </w:pPr>
    </w:p>
    <w:p w14:paraId="0E7150A1" w14:textId="2B8E4CAE" w:rsidR="00743427" w:rsidRDefault="00743427">
      <w:pPr>
        <w:rPr>
          <w:rFonts w:asciiTheme="majorHAnsi" w:eastAsiaTheme="majorEastAsia" w:hAnsiTheme="majorHAnsi" w:cstheme="majorBidi"/>
          <w:sz w:val="28"/>
          <w:szCs w:val="28"/>
        </w:rPr>
      </w:pPr>
      <w:r>
        <w:rPr>
          <w:sz w:val="28"/>
          <w:szCs w:val="28"/>
        </w:rPr>
        <w:br w:type="page"/>
      </w:r>
    </w:p>
    <w:p w14:paraId="4248F4F8" w14:textId="41827B35" w:rsidR="00855982" w:rsidRPr="00855982" w:rsidRDefault="00763482" w:rsidP="00FF618E">
      <w:pPr>
        <w:pStyle w:val="Heading2"/>
        <w:pBdr>
          <w:bottom w:val="single" w:sz="4" w:space="1" w:color="auto"/>
        </w:pBdr>
      </w:pPr>
      <w:r>
        <w:lastRenderedPageBreak/>
        <w:t>Overview</w:t>
      </w:r>
    </w:p>
    <w:p w14:paraId="0DE97FCE" w14:textId="7F8B82EE" w:rsidR="00855982" w:rsidRDefault="00763482" w:rsidP="00D86225">
      <w:pPr>
        <w:rPr>
          <w:sz w:val="24"/>
          <w:szCs w:val="24"/>
        </w:rPr>
      </w:pPr>
      <w:r w:rsidRPr="00763482">
        <w:rPr>
          <w:b/>
          <w:bCs/>
          <w:sz w:val="24"/>
          <w:szCs w:val="24"/>
        </w:rPr>
        <w:t>Background:</w:t>
      </w:r>
      <w:r>
        <w:rPr>
          <w:sz w:val="24"/>
          <w:szCs w:val="24"/>
        </w:rPr>
        <w:t xml:space="preserve"> </w:t>
      </w:r>
      <w:r w:rsidR="00ED6070" w:rsidRPr="005D5F1C">
        <w:rPr>
          <w:sz w:val="24"/>
          <w:szCs w:val="24"/>
        </w:rPr>
        <w:t>The Executive Office of Aging &amp; Independence (“AGE”) operates the State Home Care Program, which primarily serves low-income older adults with needs for long-term services and supports. An important sub-program, the Enhanced Community Options Program (“ECOP”) offers a higher level of services</w:t>
      </w:r>
      <w:r w:rsidR="00ED6070">
        <w:rPr>
          <w:sz w:val="24"/>
          <w:szCs w:val="24"/>
        </w:rPr>
        <w:t xml:space="preserve"> than the Basic Program. ECOP is reserved</w:t>
      </w:r>
      <w:r w:rsidR="00ED6070" w:rsidRPr="005D5F1C">
        <w:rPr>
          <w:sz w:val="24"/>
          <w:szCs w:val="24"/>
        </w:rPr>
        <w:t xml:space="preserve"> for individuals who clinically qualify for a nursing home placement. Approximately 75% of </w:t>
      </w:r>
      <w:r w:rsidR="00ED6070">
        <w:rPr>
          <w:sz w:val="24"/>
          <w:szCs w:val="24"/>
        </w:rPr>
        <w:t xml:space="preserve">ECOP </w:t>
      </w:r>
      <w:r w:rsidR="00ED6070" w:rsidRPr="005D5F1C">
        <w:rPr>
          <w:sz w:val="24"/>
          <w:szCs w:val="24"/>
        </w:rPr>
        <w:t xml:space="preserve">program participants have household income &lt;$30,000 per year; and 85% of </w:t>
      </w:r>
      <w:r w:rsidR="00ED6070">
        <w:rPr>
          <w:sz w:val="24"/>
          <w:szCs w:val="24"/>
        </w:rPr>
        <w:t>participants</w:t>
      </w:r>
      <w:r w:rsidR="00ED6070" w:rsidRPr="005D5F1C">
        <w:rPr>
          <w:sz w:val="24"/>
          <w:szCs w:val="24"/>
        </w:rPr>
        <w:t xml:space="preserve"> live alone.</w:t>
      </w:r>
    </w:p>
    <w:p w14:paraId="752E3D7D" w14:textId="77777777" w:rsidR="005E0C96" w:rsidRDefault="005E0C96" w:rsidP="00D86225">
      <w:pPr>
        <w:rPr>
          <w:sz w:val="24"/>
          <w:szCs w:val="24"/>
        </w:rPr>
      </w:pPr>
    </w:p>
    <w:p w14:paraId="06100140" w14:textId="77777777" w:rsidR="00D86225" w:rsidRDefault="00D86225" w:rsidP="00D86225">
      <w:pPr>
        <w:rPr>
          <w:sz w:val="24"/>
          <w:szCs w:val="24"/>
        </w:rPr>
      </w:pPr>
      <w:r w:rsidRPr="005D5F1C">
        <w:rPr>
          <w:b/>
          <w:bCs/>
          <w:sz w:val="24"/>
          <w:szCs w:val="24"/>
        </w:rPr>
        <w:t>Problem:</w:t>
      </w:r>
      <w:r w:rsidRPr="005D5F1C">
        <w:rPr>
          <w:sz w:val="24"/>
          <w:szCs w:val="24"/>
        </w:rPr>
        <w:t xml:space="preserve"> Since 3/1/25, in response to budget constraints AGE has been managing down census by sharply limiting access to ECOP</w:t>
      </w:r>
      <w:r>
        <w:rPr>
          <w:sz w:val="24"/>
          <w:szCs w:val="24"/>
        </w:rPr>
        <w:t xml:space="preserve">. In January 2025, the ECOP program supported 9,283 active consumers; for January 2026 AGE has capped the program at 5,374 active consumers. </w:t>
      </w:r>
      <w:r w:rsidRPr="004E20EA">
        <w:rPr>
          <w:b/>
          <w:bCs/>
          <w:sz w:val="24"/>
          <w:szCs w:val="24"/>
        </w:rPr>
        <w:t>This 42% caseload reduction is highly concerning and should be more widely known by the general public.</w:t>
      </w:r>
      <w:r>
        <w:rPr>
          <w:sz w:val="24"/>
          <w:szCs w:val="24"/>
        </w:rPr>
        <w:t xml:space="preserve"> A recent public records request suggested that as of 9/26/25, there were 950 low-income elders who were clinically eligible but waitlisted for enrollment to the ECOP program. To be clear, a year ago these 950 consumers would have been enrolled in the ECOP program. This waitlist has been implemented with very little, some would say insufficient, public dialogue.</w:t>
      </w:r>
    </w:p>
    <w:p w14:paraId="52B5CD81" w14:textId="77777777" w:rsidR="005E0C96" w:rsidRDefault="005E0C96" w:rsidP="00D86225">
      <w:pPr>
        <w:rPr>
          <w:sz w:val="24"/>
          <w:szCs w:val="24"/>
        </w:rPr>
      </w:pPr>
    </w:p>
    <w:p w14:paraId="3A4D45D4" w14:textId="77777777" w:rsidR="00763482" w:rsidRDefault="00763482" w:rsidP="00763482">
      <w:pPr>
        <w:rPr>
          <w:sz w:val="24"/>
          <w:szCs w:val="24"/>
        </w:rPr>
      </w:pPr>
      <w:r>
        <w:rPr>
          <w:b/>
          <w:bCs/>
          <w:sz w:val="24"/>
          <w:szCs w:val="24"/>
        </w:rPr>
        <w:t>Solution</w:t>
      </w:r>
      <w:r w:rsidRPr="005D5F1C">
        <w:rPr>
          <w:b/>
          <w:bCs/>
          <w:sz w:val="24"/>
          <w:szCs w:val="24"/>
        </w:rPr>
        <w:t>:</w:t>
      </w:r>
      <w:r w:rsidRPr="005D5F1C">
        <w:rPr>
          <w:sz w:val="24"/>
          <w:szCs w:val="24"/>
        </w:rPr>
        <w:t xml:space="preserve"> </w:t>
      </w:r>
      <w:r>
        <w:rPr>
          <w:sz w:val="24"/>
          <w:szCs w:val="24"/>
        </w:rPr>
        <w:t xml:space="preserve">AGE can and should act now to convert approximately 90% of ECOP-eligible program census (both active and waitlisted) into a special Medicaid-funded waiver program and thereby generate matching federal funds as new program revenue. This can be accomplished by MassHealth leveraging two policy tools that CMS makes available to state Medicaid programs, one of which is relatively new and not yet deployed in Massachusetts. </w:t>
      </w:r>
    </w:p>
    <w:p w14:paraId="417CB52D" w14:textId="65ABB446" w:rsidR="00763482" w:rsidRPr="005D5F1C" w:rsidRDefault="00763482" w:rsidP="00763482">
      <w:pPr>
        <w:rPr>
          <w:sz w:val="24"/>
          <w:szCs w:val="24"/>
        </w:rPr>
      </w:pPr>
      <w:r>
        <w:rPr>
          <w:sz w:val="24"/>
          <w:szCs w:val="24"/>
        </w:rPr>
        <w:t>Annualizing September 2025 ECOP program experience, a prudent transformation should generate $50-$55</w:t>
      </w:r>
      <w:r w:rsidR="00940950">
        <w:rPr>
          <w:sz w:val="24"/>
          <w:szCs w:val="24"/>
        </w:rPr>
        <w:t>M</w:t>
      </w:r>
      <w:r>
        <w:rPr>
          <w:sz w:val="24"/>
          <w:szCs w:val="24"/>
        </w:rPr>
        <w:t xml:space="preserve"> per year in</w:t>
      </w:r>
      <w:r w:rsidR="00702A2E">
        <w:rPr>
          <w:sz w:val="24"/>
          <w:szCs w:val="24"/>
        </w:rPr>
        <w:t xml:space="preserve"> new</w:t>
      </w:r>
      <w:r>
        <w:rPr>
          <w:sz w:val="24"/>
          <w:szCs w:val="24"/>
        </w:rPr>
        <w:t xml:space="preserve"> FFP revenue. </w:t>
      </w:r>
      <w:r w:rsidRPr="003C5630">
        <w:rPr>
          <w:b/>
          <w:bCs/>
          <w:sz w:val="24"/>
          <w:szCs w:val="24"/>
        </w:rPr>
        <w:t xml:space="preserve">After assuming that the ECOP waitlist is eliminated and all eligible consumers have access to enhanced service plans, the net cost to the General Fund would still be approximately $38M </w:t>
      </w:r>
      <w:r w:rsidRPr="00DF1A84">
        <w:rPr>
          <w:b/>
          <w:bCs/>
          <w:sz w:val="24"/>
          <w:szCs w:val="24"/>
          <w:u w:val="single"/>
        </w:rPr>
        <w:t xml:space="preserve">less </w:t>
      </w:r>
      <w:r w:rsidRPr="003C5630">
        <w:rPr>
          <w:b/>
          <w:bCs/>
          <w:sz w:val="24"/>
          <w:szCs w:val="24"/>
        </w:rPr>
        <w:t>than the current program configuration</w:t>
      </w:r>
      <w:r>
        <w:rPr>
          <w:sz w:val="24"/>
          <w:szCs w:val="24"/>
        </w:rPr>
        <w:t>. A portion of these additional savings should be committed towards eliminating the waitlist in the State Home Care Basic Program.</w:t>
      </w:r>
      <w:r w:rsidR="00F36259">
        <w:rPr>
          <w:sz w:val="24"/>
          <w:szCs w:val="24"/>
        </w:rPr>
        <w:t xml:space="preserve"> The author also strongly recommends </w:t>
      </w:r>
      <w:r w:rsidR="005E39D3">
        <w:rPr>
          <w:sz w:val="24"/>
          <w:szCs w:val="24"/>
        </w:rPr>
        <w:t>committing a portion of new funds towards supporting Public Guardianship services for individuals who are</w:t>
      </w:r>
      <w:r w:rsidR="00B8566D">
        <w:rPr>
          <w:sz w:val="24"/>
          <w:szCs w:val="24"/>
        </w:rPr>
        <w:t xml:space="preserve"> Nursing Home Residents or</w:t>
      </w:r>
      <w:r w:rsidR="005E39D3">
        <w:rPr>
          <w:sz w:val="24"/>
          <w:szCs w:val="24"/>
        </w:rPr>
        <w:t xml:space="preserve"> at risk of nursing home placement</w:t>
      </w:r>
      <w:r w:rsidR="00B8566D">
        <w:rPr>
          <w:sz w:val="24"/>
          <w:szCs w:val="24"/>
        </w:rPr>
        <w:t>.</w:t>
      </w:r>
    </w:p>
    <w:p w14:paraId="0EBA4586" w14:textId="5968D7F0" w:rsidR="003A6DFE" w:rsidRDefault="003A6DFE"/>
    <w:p w14:paraId="71F9490E" w14:textId="0595F2BD" w:rsidR="00DA30B0" w:rsidRPr="00855982" w:rsidRDefault="002848FE" w:rsidP="00FF618E">
      <w:pPr>
        <w:pStyle w:val="Heading2"/>
        <w:pBdr>
          <w:bottom w:val="single" w:sz="4" w:space="1" w:color="auto"/>
        </w:pBdr>
      </w:pPr>
      <w:r>
        <w:t>Definin</w:t>
      </w:r>
      <w:r w:rsidR="00683968">
        <w:t xml:space="preserve">g Current State: </w:t>
      </w:r>
      <w:r w:rsidR="005B02D2">
        <w:t>AGE Home Care Program</w:t>
      </w:r>
    </w:p>
    <w:p w14:paraId="470074B2" w14:textId="7C22C0D5" w:rsidR="00FE4575" w:rsidRDefault="00967AA1" w:rsidP="00A125F9">
      <w:r>
        <w:t>Enabled by</w:t>
      </w:r>
      <w:r w:rsidR="00AC4699">
        <w:t xml:space="preserve"> M.G.L.</w:t>
      </w:r>
      <w:r w:rsidR="00AC4699" w:rsidRPr="00AC4699">
        <w:t xml:space="preserve"> c. 19A, § 4</w:t>
      </w:r>
      <w:r w:rsidR="00B33DDA">
        <w:t xml:space="preserve">, the </w:t>
      </w:r>
      <w:r w:rsidR="00A125F9">
        <w:t xml:space="preserve">AGE State Home Care </w:t>
      </w:r>
      <w:r w:rsidR="00632219">
        <w:t>Program</w:t>
      </w:r>
      <w:r w:rsidR="00876A6C">
        <w:t xml:space="preserve"> provides important </w:t>
      </w:r>
      <w:r w:rsidR="000B4AAB">
        <w:t xml:space="preserve">in-home services and </w:t>
      </w:r>
      <w:r w:rsidR="0086483B">
        <w:t>supports</w:t>
      </w:r>
      <w:r w:rsidR="000B4AAB">
        <w:t xml:space="preserve"> primarily</w:t>
      </w:r>
      <w:r w:rsidR="00573E75">
        <w:t xml:space="preserve"> for</w:t>
      </w:r>
      <w:r w:rsidR="000B4AAB">
        <w:t xml:space="preserve"> low-income </w:t>
      </w:r>
      <w:r w:rsidR="00E72914">
        <w:t>seniors with l</w:t>
      </w:r>
      <w:r w:rsidR="007431B0">
        <w:t>ong-term care needs.</w:t>
      </w:r>
      <w:r w:rsidR="00894293">
        <w:t xml:space="preserve"> The State Home Care Program is actually a</w:t>
      </w:r>
      <w:r w:rsidR="00146BA1">
        <w:t>n array of several sub-programs</w:t>
      </w:r>
      <w:r w:rsidR="00F80C03">
        <w:t xml:space="preserve"> </w:t>
      </w:r>
      <w:r w:rsidR="00141AB6">
        <w:t>that create a</w:t>
      </w:r>
      <w:r w:rsidR="00573E75">
        <w:t xml:space="preserve"> continuum</w:t>
      </w:r>
      <w:r w:rsidR="000B2226">
        <w:t xml:space="preserve"> of enrollment options based on</w:t>
      </w:r>
      <w:r w:rsidR="00D82E47">
        <w:t xml:space="preserve"> clinical criteria (</w:t>
      </w:r>
      <w:r w:rsidR="000B2226">
        <w:t>level of</w:t>
      </w:r>
      <w:r w:rsidR="00EE2B7D">
        <w:t xml:space="preserve"> </w:t>
      </w:r>
      <w:r w:rsidR="00296672">
        <w:t>care</w:t>
      </w:r>
      <w:r w:rsidR="00F06845">
        <w:t>/clinical acuity/care complexity</w:t>
      </w:r>
      <w:r w:rsidR="00D82E47">
        <w:t>)</w:t>
      </w:r>
      <w:r w:rsidR="00F06845">
        <w:t xml:space="preserve"> and</w:t>
      </w:r>
      <w:r w:rsidR="00D82E47">
        <w:t xml:space="preserve"> </w:t>
      </w:r>
      <w:r w:rsidR="0040737C">
        <w:t>financial criteria (household income, and in some instances</w:t>
      </w:r>
      <w:r w:rsidR="00F90881">
        <w:t xml:space="preserve"> available assets/resources).</w:t>
      </w:r>
      <w:r w:rsidR="002804EF">
        <w:t xml:space="preserve"> There are </w:t>
      </w:r>
      <w:r w:rsidR="00BA16CB">
        <w:t xml:space="preserve">numerous options for how </w:t>
      </w:r>
      <w:r w:rsidR="00EB29B1">
        <w:t>the AGE</w:t>
      </w:r>
      <w:r w:rsidR="00E94D56">
        <w:t xml:space="preserve"> program</w:t>
      </w:r>
      <w:r w:rsidR="00EB29B1">
        <w:t xml:space="preserve"> options could be</w:t>
      </w:r>
      <w:r w:rsidR="00E94D56">
        <w:t xml:space="preserve"> presented to an interested audience. For purposes of this p</w:t>
      </w:r>
      <w:r w:rsidR="005519CC">
        <w:t>olicy brief</w:t>
      </w:r>
      <w:r w:rsidR="00C37EC4">
        <w:t xml:space="preserve">, </w:t>
      </w:r>
      <w:r w:rsidR="00AD4923">
        <w:t xml:space="preserve">analysis is going to be limited to the sub-programs that are funded by appropriations </w:t>
      </w:r>
      <w:r w:rsidR="00466D69">
        <w:t xml:space="preserve">ELD </w:t>
      </w:r>
      <w:r w:rsidR="00AD4923">
        <w:t>9110-</w:t>
      </w:r>
      <w:r w:rsidR="00AD3F4E">
        <w:t>0600, -</w:t>
      </w:r>
      <w:r w:rsidR="00AD4923">
        <w:t>1630,</w:t>
      </w:r>
      <w:r w:rsidR="00AD3F4E">
        <w:t xml:space="preserve"> and</w:t>
      </w:r>
      <w:r w:rsidR="00AD4923">
        <w:t xml:space="preserve"> -1633</w:t>
      </w:r>
      <w:r w:rsidR="00466D69">
        <w:t xml:space="preserve">. </w:t>
      </w:r>
      <w:r w:rsidR="00D207F4">
        <w:t>This brief is not concerned with Older Americans Act</w:t>
      </w:r>
      <w:r w:rsidR="00C20D13">
        <w:t>-funded services.</w:t>
      </w:r>
    </w:p>
    <w:p w14:paraId="192B31A8" w14:textId="06FA6D92" w:rsidR="00DA30B0" w:rsidRDefault="00645F71" w:rsidP="00A125F9">
      <w:r>
        <w:lastRenderedPageBreak/>
        <w:t>Furthermore, th</w:t>
      </w:r>
      <w:r w:rsidR="00557494">
        <w:t>e focus of</w:t>
      </w:r>
      <w:r w:rsidR="000702F5">
        <w:t xml:space="preserve"> this</w:t>
      </w:r>
      <w:r>
        <w:t xml:space="preserve"> </w:t>
      </w:r>
      <w:r w:rsidR="00FE4575">
        <w:t>policy brief is limited to</w:t>
      </w:r>
      <w:r w:rsidR="006002BF">
        <w:t xml:space="preserve"> </w:t>
      </w:r>
      <w:r w:rsidR="003C45DD">
        <w:t>Home Care Program participants</w:t>
      </w:r>
      <w:r w:rsidR="006002BF">
        <w:t xml:space="preserve"> who</w:t>
      </w:r>
      <w:r w:rsidR="004B1F27">
        <w:t xml:space="preserve"> </w:t>
      </w:r>
      <w:r w:rsidR="002553AA">
        <w:t xml:space="preserve">have clinical care needs that </w:t>
      </w:r>
      <w:r w:rsidR="00221743">
        <w:t xml:space="preserve">would qualify for a MassHealth-funded nursing home placement, otherwise referred to as </w:t>
      </w:r>
      <w:r w:rsidR="005B15DE">
        <w:t>“</w:t>
      </w:r>
      <w:r w:rsidR="00221743">
        <w:t>Nursing Facility</w:t>
      </w:r>
      <w:r w:rsidR="005E7B06">
        <w:t xml:space="preserve"> Level of Care</w:t>
      </w:r>
      <w:r w:rsidR="005B15DE">
        <w:t xml:space="preserve"> Equivalent</w:t>
      </w:r>
      <w:r w:rsidR="00F11645">
        <w:t>”</w:t>
      </w:r>
      <w:r w:rsidR="005B15DE">
        <w:t xml:space="preserve"> (“</w:t>
      </w:r>
      <w:r w:rsidR="00F11645">
        <w:t>NF-LOC”)</w:t>
      </w:r>
      <w:r w:rsidR="005B6EEC">
        <w:t>.</w:t>
      </w:r>
    </w:p>
    <w:p w14:paraId="3965B649" w14:textId="77777777" w:rsidR="00270282" w:rsidRDefault="00A51128" w:rsidP="00A125F9">
      <w:r>
        <w:t>Figure One isolates on the</w:t>
      </w:r>
      <w:r w:rsidR="0016698A">
        <w:t xml:space="preserve"> routine AGE program census that is </w:t>
      </w:r>
      <w:r w:rsidR="009D2F1D">
        <w:t>being analyzed for potential to convert to a new 1915 (c) waiver program.</w:t>
      </w:r>
      <w:r w:rsidR="00FA0958">
        <w:t xml:space="preserve"> The snapshot is from September 2025</w:t>
      </w:r>
      <w:r w:rsidR="00C8284A">
        <w:t xml:space="preserve">. Note that in addition to </w:t>
      </w:r>
      <w:r w:rsidR="0044445E">
        <w:t xml:space="preserve">the 6,083 consumers who actively received services in the ECOP program, it is estimated that 836 individuals </w:t>
      </w:r>
      <w:r w:rsidR="005B21E5">
        <w:t xml:space="preserve">clinically qualified but were waitlisted </w:t>
      </w:r>
      <w:r w:rsidR="007A39B2">
        <w:t>while being supported by a less intensive service program in the “Basic” program.</w:t>
      </w:r>
    </w:p>
    <w:p w14:paraId="2DBB25E9" w14:textId="5FF44771" w:rsidR="00083BA7" w:rsidRDefault="005B21E5" w:rsidP="00A125F9">
      <w:r>
        <w:t xml:space="preserve"> </w:t>
      </w:r>
    </w:p>
    <w:p w14:paraId="3BCAB626" w14:textId="2612DFD8" w:rsidR="00083BA7" w:rsidRPr="0072312A" w:rsidRDefault="00083BA7" w:rsidP="0072312A">
      <w:pPr>
        <w:spacing w:after="0"/>
        <w:jc w:val="center"/>
        <w:rPr>
          <w:u w:val="single"/>
        </w:rPr>
      </w:pPr>
      <w:r w:rsidRPr="0072312A">
        <w:rPr>
          <w:u w:val="single"/>
        </w:rPr>
        <w:t>Figure 1</w:t>
      </w:r>
    </w:p>
    <w:p w14:paraId="67F11025" w14:textId="3B61181A" w:rsidR="00083BA7" w:rsidRDefault="008D4AF3" w:rsidP="0072312A">
      <w:pPr>
        <w:spacing w:after="0"/>
        <w:jc w:val="center"/>
        <w:rPr>
          <w:b/>
          <w:bCs/>
        </w:rPr>
      </w:pPr>
      <w:r>
        <w:rPr>
          <w:b/>
          <w:bCs/>
        </w:rPr>
        <w:t xml:space="preserve">Current State Overview of </w:t>
      </w:r>
      <w:r w:rsidR="00253982">
        <w:rPr>
          <w:b/>
          <w:bCs/>
        </w:rPr>
        <w:t>Program Census</w:t>
      </w:r>
    </w:p>
    <w:p w14:paraId="12A7A30B" w14:textId="75738601" w:rsidR="002C1569" w:rsidRPr="002C1569" w:rsidRDefault="002C1569" w:rsidP="0072312A">
      <w:pPr>
        <w:spacing w:after="0"/>
        <w:jc w:val="center"/>
        <w:rPr>
          <w:sz w:val="12"/>
          <w:szCs w:val="12"/>
        </w:rPr>
      </w:pPr>
    </w:p>
    <w:p w14:paraId="768AEF07" w14:textId="03465D52" w:rsidR="003722DD" w:rsidRPr="00855982" w:rsidRDefault="00680233" w:rsidP="00FB31D5">
      <w:pPr>
        <w:jc w:val="center"/>
      </w:pPr>
      <w:r>
        <w:rPr>
          <w:noProof/>
          <w:lang w:eastAsia="en-US"/>
        </w:rPr>
        <mc:AlternateContent>
          <mc:Choice Requires="wps">
            <w:drawing>
              <wp:anchor distT="0" distB="0" distL="114300" distR="114300" simplePos="0" relativeHeight="251659264" behindDoc="0" locked="0" layoutInCell="1" allowOverlap="1" wp14:anchorId="3D76D6F9" wp14:editId="266FCA0A">
                <wp:simplePos x="0" y="0"/>
                <wp:positionH relativeFrom="column">
                  <wp:posOffset>1314450</wp:posOffset>
                </wp:positionH>
                <wp:positionV relativeFrom="paragraph">
                  <wp:posOffset>1539876</wp:posOffset>
                </wp:positionV>
                <wp:extent cx="4243388" cy="762000"/>
                <wp:effectExtent l="0" t="0" r="24130" b="19050"/>
                <wp:wrapNone/>
                <wp:docPr id="38044736" name="Text Box 1"/>
                <wp:cNvGraphicFramePr/>
                <a:graphic xmlns:a="http://schemas.openxmlformats.org/drawingml/2006/main">
                  <a:graphicData uri="http://schemas.microsoft.com/office/word/2010/wordprocessingShape">
                    <wps:wsp>
                      <wps:cNvSpPr txBox="1"/>
                      <wps:spPr>
                        <a:xfrm>
                          <a:off x="0" y="0"/>
                          <a:ext cx="4243388" cy="762000"/>
                        </a:xfrm>
                        <a:prstGeom prst="rect">
                          <a:avLst/>
                        </a:prstGeom>
                        <a:solidFill>
                          <a:schemeClr val="lt1"/>
                        </a:solidFill>
                        <a:ln w="6350">
                          <a:solidFill>
                            <a:prstClr val="black"/>
                          </a:solidFill>
                        </a:ln>
                      </wps:spPr>
                      <wps:txbx>
                        <w:txbxContent>
                          <w:p w14:paraId="16342BF9" w14:textId="418F4CE9" w:rsidR="00FE66CA" w:rsidRPr="00FE66CA" w:rsidRDefault="00FE66CA" w:rsidP="00FE66CA">
                            <w:pPr>
                              <w:rPr>
                                <w:sz w:val="20"/>
                                <w:szCs w:val="20"/>
                              </w:rPr>
                            </w:pPr>
                            <w:r w:rsidRPr="00FE66CA">
                              <w:rPr>
                                <w:sz w:val="20"/>
                                <w:szCs w:val="20"/>
                              </w:rPr>
                              <w:t>1: For detail on information source and methodology for converting from enrollment/headcount to active monthly consumer/billable unit, please see the notes</w:t>
                            </w:r>
                            <w:r w:rsidRPr="00824FE5">
                              <w:rPr>
                                <w:sz w:val="20"/>
                                <w:szCs w:val="20"/>
                              </w:rPr>
                              <w:t xml:space="preserve"> in the accompanying </w:t>
                            </w:r>
                            <w:r w:rsidR="00865802" w:rsidRPr="00824FE5">
                              <w:rPr>
                                <w:sz w:val="20"/>
                                <w:szCs w:val="20"/>
                              </w:rPr>
                              <w:t>excel workbook,</w:t>
                            </w:r>
                            <w:r w:rsidR="00824FE5" w:rsidRPr="00824FE5">
                              <w:rPr>
                                <w:sz w:val="20"/>
                                <w:szCs w:val="20"/>
                              </w:rPr>
                              <w:t xml:space="preserve"> worksheet</w:t>
                            </w:r>
                            <w:r w:rsidRPr="00FE66CA">
                              <w:rPr>
                                <w:sz w:val="20"/>
                                <w:szCs w:val="20"/>
                              </w:rPr>
                              <w:t xml:space="preserve"> tab "Current State ECOP Sept. 2025".</w:t>
                            </w:r>
                          </w:p>
                          <w:p w14:paraId="1888C0E3" w14:textId="77777777" w:rsidR="00680233" w:rsidRDefault="00680233"/>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D76D6F9" id="_x0000_t202" coordsize="21600,21600" o:spt="202" path="m,l,21600r21600,l21600,xe">
                <v:stroke joinstyle="miter"/>
                <v:path gradientshapeok="t" o:connecttype="rect"/>
              </v:shapetype>
              <v:shape id="Text Box 1" o:spid="_x0000_s1026" type="#_x0000_t202" style="position:absolute;left:0;text-align:left;margin-left:103.5pt;margin-top:121.25pt;width:334.15pt;height:6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" fillcolor="white [3201]" strokeweight=".5pt">
                <v:textbox>
                  <w:txbxContent>
                    <w:p w14:paraId="16342BF9" w14:textId="418F4CE9" w:rsidR="00FE66CA" w:rsidRPr="00FE66CA" w:rsidRDefault="00FE66CA" w:rsidP="00FE66CA">
                      <w:pPr>
                        <w:rPr>
                          <w:sz w:val="20"/>
                          <w:szCs w:val="20"/>
                        </w:rPr>
                      </w:pPr>
                      <w:r w:rsidRPr="00FE66CA">
                        <w:rPr>
                          <w:sz w:val="20"/>
                          <w:szCs w:val="20"/>
                        </w:rPr>
                        <w:t>1: For detail on information source and methodology for converting from enrollment/headcount to active monthly consumer/billable unit, please see the notes</w:t>
                      </w:r>
                      <w:r w:rsidRPr="00824FE5">
                        <w:rPr>
                          <w:sz w:val="20"/>
                          <w:szCs w:val="20"/>
                        </w:rPr>
                        <w:t xml:space="preserve"> in the accompanying </w:t>
                      </w:r>
                      <w:r w:rsidR="00865802" w:rsidRPr="00824FE5">
                        <w:rPr>
                          <w:sz w:val="20"/>
                          <w:szCs w:val="20"/>
                        </w:rPr>
                        <w:t>excel workbook,</w:t>
                      </w:r>
                      <w:r w:rsidR="00824FE5" w:rsidRPr="00824FE5">
                        <w:rPr>
                          <w:sz w:val="20"/>
                          <w:szCs w:val="20"/>
                        </w:rPr>
                        <w:t xml:space="preserve"> worksheet</w:t>
                      </w:r>
                      <w:r w:rsidRPr="00FE66CA">
                        <w:rPr>
                          <w:sz w:val="20"/>
                          <w:szCs w:val="20"/>
                        </w:rPr>
                        <w:t xml:space="preserve"> tab "Current State ECOP Sept. 2025".</w:t>
                      </w:r>
                    </w:p>
                    <w:p w14:paraId="1888C0E3" w14:textId="77777777" w:rsidR="00680233" w:rsidRDefault="00680233"/>
                  </w:txbxContent>
                </v:textbox>
              </v:shape>
            </w:pict>
          </mc:Fallback>
        </mc:AlternateContent>
      </w:r>
      <w:r w:rsidR="00A82414" w:rsidRPr="00A82414">
        <w:rPr>
          <w:noProof/>
          <w:lang w:eastAsia="en-US"/>
        </w:rPr>
        <w:drawing>
          <wp:inline distT="0" distB="0" distL="0" distR="0" wp14:anchorId="761085E5" wp14:editId="64853D92">
            <wp:extent cx="4276138" cy="1541103"/>
            <wp:effectExtent l="0" t="0" r="0" b="2540"/>
            <wp:docPr id="333549448" name="Picture 1" descr="Image from excel worksheet that demonstrated in September 2025, there were 836 individuals waitlisted for the ECOP program. While they had the same level of care complexity as ECOP participants, they only realized $435 in monthly supports. Meanwhile, ECOP participants were able to access $1,125 in monthly suppor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3549448" name="Picture 1" descr="Image from excel worksheet that demonstrated in September 2025, there were 836 individuals waitlisted for the ECOP program. While they had the same level of care complexity as ECOP participants, they only realized $435 in monthly supports. Meanwhile, ECOP participants were able to access $1,125 in monthly supports."/>
                    <pic:cNvPicPr/>
                  </pic:nvPicPr>
                  <pic:blipFill>
                    <a:blip r:embed="rId8"/>
                    <a:stretch>
                      <a:fillRect/>
                    </a:stretch>
                  </pic:blipFill>
                  <pic:spPr>
                    <a:xfrm>
                      <a:off x="0" y="0"/>
                      <a:ext cx="4276138" cy="1541103"/>
                    </a:xfrm>
                    <a:prstGeom prst="rect">
                      <a:avLst/>
                    </a:prstGeom>
                  </pic:spPr>
                </pic:pic>
              </a:graphicData>
            </a:graphic>
          </wp:inline>
        </w:drawing>
      </w:r>
    </w:p>
    <w:p w14:paraId="71D2070E" w14:textId="77777777" w:rsidR="00DA30B0" w:rsidRDefault="00DA30B0" w:rsidP="00855982"/>
    <w:p w14:paraId="32D07733" w14:textId="77777777" w:rsidR="00DA30B0" w:rsidRDefault="00DA30B0" w:rsidP="00855982"/>
    <w:p w14:paraId="42319135" w14:textId="77777777" w:rsidR="00B65CCF" w:rsidRDefault="00B65CCF"/>
    <w:p w14:paraId="11FABFB7" w14:textId="2FD931E5" w:rsidR="00DA30B0" w:rsidRPr="00855982" w:rsidRDefault="00943DA6" w:rsidP="00FF618E">
      <w:pPr>
        <w:pStyle w:val="Heading2"/>
        <w:pBdr>
          <w:bottom w:val="single" w:sz="4" w:space="1" w:color="auto"/>
        </w:pBdr>
      </w:pPr>
      <w:r>
        <w:t xml:space="preserve">Converting ECOP to </w:t>
      </w:r>
      <w:r w:rsidR="0081557E">
        <w:t>Medicaid-Reimbursable Activity</w:t>
      </w:r>
      <w:r w:rsidR="00943478">
        <w:t>:</w:t>
      </w:r>
      <w:r w:rsidR="004A502C">
        <w:t xml:space="preserve"> A</w:t>
      </w:r>
      <w:r w:rsidR="00943478">
        <w:t xml:space="preserve"> </w:t>
      </w:r>
      <w:r w:rsidR="004A502C">
        <w:t>New “</w:t>
      </w:r>
      <w:r w:rsidR="00C46418">
        <w:t xml:space="preserve">Limited </w:t>
      </w:r>
      <w:r w:rsidR="00943478">
        <w:t>Frail Elder Waiver</w:t>
      </w:r>
      <w:r w:rsidR="004A502C">
        <w:t>” Program Option</w:t>
      </w:r>
    </w:p>
    <w:p w14:paraId="36244E2E" w14:textId="1ACFE8EB" w:rsidR="00DA30B0" w:rsidRPr="00855982" w:rsidRDefault="00A306CD" w:rsidP="00A306CD">
      <w:r>
        <w:t xml:space="preserve">There are two policy options made available </w:t>
      </w:r>
      <w:r w:rsidR="00E47EFF">
        <w:t xml:space="preserve">by CMS to states that </w:t>
      </w:r>
      <w:r w:rsidR="00B94424">
        <w:t xml:space="preserve">can be applied to the ECOP program for the purpose of efficiently converting </w:t>
      </w:r>
      <w:r w:rsidR="00A2263A">
        <w:t xml:space="preserve">existing </w:t>
      </w:r>
      <w:r w:rsidR="00842991">
        <w:t xml:space="preserve">AGE service commitments </w:t>
      </w:r>
      <w:r w:rsidR="00CF70C6">
        <w:t xml:space="preserve">into Medicaid-reimbursable activity. MassHealth has not deployed either of the </w:t>
      </w:r>
      <w:r w:rsidR="008530DB">
        <w:t xml:space="preserve">policy options in the administration of any of their current 1915(c) waiver programs, including the Frail </w:t>
      </w:r>
      <w:r w:rsidR="00441DC1">
        <w:t xml:space="preserve">Elder Waiver. Furthermore, one of the policy options is relatively new and not yet </w:t>
      </w:r>
      <w:r w:rsidR="00DF674E">
        <w:t>in wide use by other states.</w:t>
      </w:r>
    </w:p>
    <w:p w14:paraId="0F39E5D2" w14:textId="1AF68B85" w:rsidR="00DA30B0" w:rsidRDefault="00C259B7" w:rsidP="00855982">
      <w:r>
        <w:t xml:space="preserve">The concept is to establish a new 1915(c) waiver program that is placed on </w:t>
      </w:r>
      <w:r w:rsidR="00703D8E">
        <w:t xml:space="preserve">a continuum between the current ECOP Program </w:t>
      </w:r>
      <w:r w:rsidR="00B86B6F">
        <w:t xml:space="preserve">and the </w:t>
      </w:r>
      <w:r w:rsidR="00726393">
        <w:t>well-known</w:t>
      </w:r>
      <w:r w:rsidR="00B86B6F">
        <w:t xml:space="preserve"> Frail Elder Waiver (“FEW”) program. </w:t>
      </w:r>
      <w:r w:rsidR="006E3C32">
        <w:t xml:space="preserve">This new 1915(c) program will provide a </w:t>
      </w:r>
      <w:r w:rsidR="00095F03">
        <w:t xml:space="preserve">more limited service offering </w:t>
      </w:r>
      <w:r w:rsidR="00906E8D">
        <w:t>to participants in comparison to the FEW. The key distinction is the new program, tentatively titled “</w:t>
      </w:r>
      <w:r w:rsidR="00324883">
        <w:t xml:space="preserve">Limited </w:t>
      </w:r>
      <w:r w:rsidR="00906E8D">
        <w:t>Frail Elder Waiver”</w:t>
      </w:r>
      <w:r w:rsidR="00476899">
        <w:t>,</w:t>
      </w:r>
      <w:r w:rsidR="00906E8D">
        <w:t xml:space="preserve"> </w:t>
      </w:r>
      <w:r w:rsidR="00726393">
        <w:t xml:space="preserve">will have a less restrictive financial eligibility </w:t>
      </w:r>
      <w:r w:rsidR="00846677">
        <w:t>criterion</w:t>
      </w:r>
      <w:r w:rsidR="00726393">
        <w:t>.</w:t>
      </w:r>
    </w:p>
    <w:p w14:paraId="00386675" w14:textId="404DF3F0" w:rsidR="00B65CCF" w:rsidRDefault="00B65CCF">
      <w:r>
        <w:br w:type="page"/>
      </w:r>
    </w:p>
    <w:p w14:paraId="09941C60" w14:textId="77777777" w:rsidR="00C867DA" w:rsidRDefault="00C867DA" w:rsidP="00855982"/>
    <w:p w14:paraId="5C1DEEF8" w14:textId="13E22B63" w:rsidR="00DE1D4F" w:rsidRDefault="00DE1D4F" w:rsidP="00DE1D4F">
      <w:pPr>
        <w:spacing w:after="0"/>
        <w:jc w:val="center"/>
        <w:rPr>
          <w:u w:val="single"/>
        </w:rPr>
      </w:pPr>
      <w:r w:rsidRPr="0072312A">
        <w:rPr>
          <w:u w:val="single"/>
        </w:rPr>
        <w:t xml:space="preserve">Figure </w:t>
      </w:r>
      <w:r w:rsidR="00D84850">
        <w:rPr>
          <w:u w:val="single"/>
        </w:rPr>
        <w:t>2</w:t>
      </w:r>
    </w:p>
    <w:p w14:paraId="38923ABD" w14:textId="77777777" w:rsidR="003564A6" w:rsidRPr="0072312A" w:rsidRDefault="003564A6" w:rsidP="00DE1D4F">
      <w:pPr>
        <w:spacing w:after="0"/>
        <w:jc w:val="center"/>
        <w:rPr>
          <w:u w:val="single"/>
        </w:rPr>
      </w:pPr>
    </w:p>
    <w:p w14:paraId="450DDECD" w14:textId="77777777" w:rsidR="002202DA" w:rsidRDefault="0084286C" w:rsidP="00DE1D4F">
      <w:pPr>
        <w:spacing w:after="0"/>
        <w:jc w:val="center"/>
        <w:rPr>
          <w:b/>
          <w:bCs/>
        </w:rPr>
      </w:pPr>
      <w:r>
        <w:rPr>
          <w:b/>
          <w:bCs/>
        </w:rPr>
        <w:t>Demonstrating Census Distribution</w:t>
      </w:r>
      <w:r w:rsidR="000C38CB">
        <w:rPr>
          <w:b/>
          <w:bCs/>
        </w:rPr>
        <w:t xml:space="preserve"> of ECOP-Eligible Consumers</w:t>
      </w:r>
      <w:r w:rsidR="002202DA">
        <w:rPr>
          <w:b/>
          <w:bCs/>
        </w:rPr>
        <w:t xml:space="preserve"> Under Current State of AGE Programs</w:t>
      </w:r>
    </w:p>
    <w:p w14:paraId="036574C4" w14:textId="1F170A59" w:rsidR="00DE1D4F" w:rsidRDefault="002202DA" w:rsidP="00DE1D4F">
      <w:pPr>
        <w:spacing w:after="0"/>
        <w:jc w:val="center"/>
        <w:rPr>
          <w:b/>
          <w:bCs/>
        </w:rPr>
      </w:pPr>
      <w:r>
        <w:rPr>
          <w:b/>
          <w:bCs/>
        </w:rPr>
        <w:t xml:space="preserve">Compared to Optimized Scenario of Offering a New </w:t>
      </w:r>
      <w:r w:rsidR="007F7FC3">
        <w:rPr>
          <w:b/>
          <w:bCs/>
        </w:rPr>
        <w:t>1915(c) “</w:t>
      </w:r>
      <w:r w:rsidR="00324883">
        <w:rPr>
          <w:b/>
          <w:bCs/>
        </w:rPr>
        <w:t xml:space="preserve">Limited </w:t>
      </w:r>
      <w:r w:rsidR="007F7FC3">
        <w:rPr>
          <w:b/>
          <w:bCs/>
        </w:rPr>
        <w:t>Frail Elder Waiver” Program</w:t>
      </w:r>
    </w:p>
    <w:p w14:paraId="48255AEC" w14:textId="77777777" w:rsidR="00DE1D4F" w:rsidRDefault="00DE1D4F" w:rsidP="00855982"/>
    <w:p w14:paraId="78287110" w14:textId="3A78B7E4" w:rsidR="00534EC4" w:rsidRDefault="00534EC4" w:rsidP="00855982">
      <w:r>
        <w:rPr>
          <w:noProof/>
          <w:lang w:eastAsia="en-US"/>
        </w:rPr>
        <w:drawing>
          <wp:inline distT="0" distB="0" distL="0" distR="0" wp14:anchorId="44337BB2" wp14:editId="3B6B84C8">
            <wp:extent cx="6858000" cy="1954530"/>
            <wp:effectExtent l="0" t="0" r="0" b="7620"/>
            <wp:docPr id="1686303724" name="Picture 2" descr="Image demonstrates that if the proposed waiver is implemented, the ECOP waitlist will be eliminated and all clinically comparable consumers will have access to the same level of servi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6303724" name="Picture 2" descr="Image demonstrates that if the proposed waiver is implemented, the ECOP waitlist will be eliminated and all clinically comparable consumers will have access to the same level of services."/>
                    <pic:cNvPicPr/>
                  </pic:nvPicPr>
                  <pic:blipFill>
                    <a:blip r:embed="rId9" cstate="print">
                      <a:extLst>
                        <a:ext uri="{28A0092B-C50C-407E-A947-70E740481C1C}">
                          <a14:useLocalDpi xmlns:a14="http://schemas.microsoft.com/office/drawing/2010/main" val="0"/>
                        </a:ext>
                      </a:extLst>
                    </a:blip>
                    <a:stretch>
                      <a:fillRect/>
                    </a:stretch>
                  </pic:blipFill>
                  <pic:spPr>
                    <a:xfrm>
                      <a:off x="0" y="0"/>
                      <a:ext cx="6858000" cy="1954530"/>
                    </a:xfrm>
                    <a:prstGeom prst="rect">
                      <a:avLst/>
                    </a:prstGeom>
                  </pic:spPr>
                </pic:pic>
              </a:graphicData>
            </a:graphic>
          </wp:inline>
        </w:drawing>
      </w:r>
    </w:p>
    <w:p w14:paraId="002B042A" w14:textId="6CF2BFDF" w:rsidR="00DB642F" w:rsidRPr="00296BB0" w:rsidRDefault="00DB642F" w:rsidP="004C15ED">
      <w:pPr>
        <w:pStyle w:val="Heading3"/>
      </w:pPr>
      <w:r w:rsidRPr="00296BB0">
        <w:t>Key De</w:t>
      </w:r>
      <w:r w:rsidR="00296BB0" w:rsidRPr="00296BB0">
        <w:t>sign Elements to the Proposed “</w:t>
      </w:r>
      <w:r w:rsidR="00324883">
        <w:t xml:space="preserve">Limited </w:t>
      </w:r>
      <w:r w:rsidR="00296BB0" w:rsidRPr="00296BB0">
        <w:t>Frail Elder Waiver” Program</w:t>
      </w:r>
    </w:p>
    <w:p w14:paraId="199A7C40" w14:textId="68DE1D28" w:rsidR="00D16B9B" w:rsidRDefault="00365D0F" w:rsidP="00855982">
      <w:r>
        <w:t xml:space="preserve">In order to attain the </w:t>
      </w:r>
      <w:r w:rsidR="008D12C3">
        <w:t xml:space="preserve">redistribution of consumer census </w:t>
      </w:r>
      <w:r w:rsidR="006D3DFB">
        <w:t xml:space="preserve">suggested by Figure 2, </w:t>
      </w:r>
      <w:r w:rsidR="00057787">
        <w:t>t</w:t>
      </w:r>
      <w:r w:rsidR="0066724F">
        <w:t xml:space="preserve">he key design elements to the </w:t>
      </w:r>
      <w:r w:rsidR="00324883">
        <w:t xml:space="preserve">Limited </w:t>
      </w:r>
      <w:r w:rsidR="0066724F">
        <w:t>Frail Elder Waiver</w:t>
      </w:r>
      <w:r w:rsidR="00B301DC">
        <w:t xml:space="preserve"> </w:t>
      </w:r>
      <w:r w:rsidR="00D16B9B">
        <w:t>Program</w:t>
      </w:r>
      <w:r w:rsidR="00057787">
        <w:t xml:space="preserve"> will need to include the following</w:t>
      </w:r>
      <w:r w:rsidR="00380EA8">
        <w:t xml:space="preserve"> considerations</w:t>
      </w:r>
      <w:r w:rsidR="00D16B9B">
        <w:t>:</w:t>
      </w:r>
    </w:p>
    <w:p w14:paraId="0C551CCE" w14:textId="4B13BEEB" w:rsidR="00D16B9B" w:rsidRDefault="00D16B9B" w:rsidP="001A3274">
      <w:pPr>
        <w:pStyle w:val="ListParagraph"/>
        <w:numPr>
          <w:ilvl w:val="0"/>
          <w:numId w:val="31"/>
        </w:numPr>
        <w:spacing w:after="120" w:line="240" w:lineRule="auto"/>
        <w:contextualSpacing w:val="0"/>
      </w:pPr>
      <w:r>
        <w:t>Same clinical eligibility as the Frail Elder Waiver</w:t>
      </w:r>
      <w:r w:rsidR="001A3274">
        <w:t>.</w:t>
      </w:r>
    </w:p>
    <w:p w14:paraId="09FAE14E" w14:textId="4F900A66" w:rsidR="00D16B9B" w:rsidRDefault="00D16B9B" w:rsidP="001A3274">
      <w:pPr>
        <w:pStyle w:val="ListParagraph"/>
        <w:numPr>
          <w:ilvl w:val="0"/>
          <w:numId w:val="31"/>
        </w:numPr>
        <w:spacing w:after="120" w:line="240" w:lineRule="auto"/>
        <w:contextualSpacing w:val="0"/>
      </w:pPr>
      <w:r>
        <w:t>Sam</w:t>
      </w:r>
      <w:r w:rsidR="00F378A4">
        <w:t>e</w:t>
      </w:r>
      <w:r>
        <w:t xml:space="preserve"> income </w:t>
      </w:r>
      <w:r w:rsidR="00F378A4">
        <w:t xml:space="preserve">eligibility </w:t>
      </w:r>
      <w:r w:rsidR="0067693A">
        <w:t>standard</w:t>
      </w:r>
      <w:r w:rsidR="00F265CD">
        <w:t xml:space="preserve"> as the Frail Elder Waiver</w:t>
      </w:r>
      <w:r w:rsidR="001A3274">
        <w:t>.</w:t>
      </w:r>
    </w:p>
    <w:p w14:paraId="4E9D3BAE" w14:textId="3DD73843" w:rsidR="00F378A4" w:rsidRDefault="00F378A4" w:rsidP="001A3274">
      <w:pPr>
        <w:pStyle w:val="ListParagraph"/>
        <w:numPr>
          <w:ilvl w:val="0"/>
          <w:numId w:val="31"/>
        </w:numPr>
        <w:spacing w:after="120" w:line="240" w:lineRule="auto"/>
        <w:contextualSpacing w:val="0"/>
      </w:pPr>
      <w:r>
        <w:t xml:space="preserve">Less restrictive </w:t>
      </w:r>
      <w:r w:rsidR="00DE4AC0">
        <w:t xml:space="preserve">resource </w:t>
      </w:r>
      <w:r w:rsidR="0067693A">
        <w:t>requirement</w:t>
      </w:r>
      <w:r w:rsidR="009A14A1">
        <w:t xml:space="preserve">, designed to </w:t>
      </w:r>
      <w:r w:rsidR="00B55DBF">
        <w:t xml:space="preserve">facilitate enrollment by current </w:t>
      </w:r>
      <w:r w:rsidR="00B43764">
        <w:t>ECOP membership.</w:t>
      </w:r>
      <w:r w:rsidR="00A12078">
        <w:t xml:space="preserve"> The ability to implement a resource </w:t>
      </w:r>
      <w:r w:rsidR="0011747D">
        <w:t>eligibility criterion that differs from nursing home eligibility was</w:t>
      </w:r>
      <w:r w:rsidR="00662F62">
        <w:t xml:space="preserve"> </w:t>
      </w:r>
      <w:r w:rsidR="00E11793">
        <w:t xml:space="preserve">recently clarified </w:t>
      </w:r>
      <w:r w:rsidR="00982204">
        <w:t>by</w:t>
      </w:r>
      <w:r w:rsidR="00473E7A">
        <w:t xml:space="preserve"> </w:t>
      </w:r>
      <w:r w:rsidR="00473E7A" w:rsidRPr="0009585C">
        <w:t>CMS State Medicaid Director Letter (SMD) #21</w:t>
      </w:r>
      <w:r w:rsidR="00473E7A" w:rsidRPr="0009585C">
        <w:noBreakHyphen/>
        <w:t>004</w:t>
      </w:r>
      <w:r w:rsidR="0009585C" w:rsidRPr="00B31FD9">
        <w:t xml:space="preserve">. As such, there </w:t>
      </w:r>
      <w:r w:rsidR="008271F3">
        <w:t xml:space="preserve">are few instances </w:t>
      </w:r>
      <w:r w:rsidR="0009585C" w:rsidRPr="00B31FD9">
        <w:t xml:space="preserve">of other states making use of this </w:t>
      </w:r>
      <w:r w:rsidR="00C47C9F" w:rsidRPr="00B31FD9">
        <w:t xml:space="preserve">important clarification (see below discussion </w:t>
      </w:r>
      <w:r w:rsidR="0097098E" w:rsidRPr="00B31FD9">
        <w:t xml:space="preserve">“Targeted Resource Disregard for </w:t>
      </w:r>
      <w:r w:rsidR="00510B16" w:rsidRPr="00B31FD9">
        <w:t xml:space="preserve">Applicants to </w:t>
      </w:r>
      <w:r w:rsidR="00B301DC">
        <w:t xml:space="preserve">Limited </w:t>
      </w:r>
      <w:r w:rsidR="0097098E" w:rsidRPr="00B31FD9">
        <w:t>Frail Elder Waiver</w:t>
      </w:r>
      <w:r w:rsidR="00342A33">
        <w:t xml:space="preserve"> </w:t>
      </w:r>
      <w:r w:rsidR="00510B16" w:rsidRPr="00B31FD9">
        <w:t>Program”). An o</w:t>
      </w:r>
      <w:r w:rsidR="00B43764">
        <w:t>pen</w:t>
      </w:r>
      <w:r w:rsidR="00510B16">
        <w:t xml:space="preserve"> design</w:t>
      </w:r>
      <w:r w:rsidR="00B43764">
        <w:t xml:space="preserve"> question </w:t>
      </w:r>
      <w:r w:rsidR="00655C22">
        <w:t>is</w:t>
      </w:r>
      <w:r w:rsidR="00B43764">
        <w:t xml:space="preserve"> </w:t>
      </w:r>
      <w:r w:rsidR="007668A7">
        <w:t>whether</w:t>
      </w:r>
      <w:r w:rsidR="00B43764">
        <w:t xml:space="preserve"> </w:t>
      </w:r>
      <w:r w:rsidR="00385CF5">
        <w:t xml:space="preserve">there should be </w:t>
      </w:r>
      <w:r w:rsidR="00C3767B">
        <w:t>any asset/resource requirement</w:t>
      </w:r>
      <w:r w:rsidR="001E6403">
        <w:t xml:space="preserve"> whatsoever</w:t>
      </w:r>
      <w:r w:rsidR="00C3767B">
        <w:t xml:space="preserve">; or </w:t>
      </w:r>
      <w:r w:rsidR="00424D6B">
        <w:t xml:space="preserve">to adopt a high ceiling (for example $130,000) for the purpose </w:t>
      </w:r>
      <w:r w:rsidR="00752F24">
        <w:t xml:space="preserve">of ensuring all </w:t>
      </w:r>
      <w:r w:rsidR="00A717F4">
        <w:t xml:space="preserve">Limited Frail Elder Waiver </w:t>
      </w:r>
      <w:r w:rsidR="00752F24">
        <w:t>participants are subject to look-back</w:t>
      </w:r>
      <w:r w:rsidR="00CC4842">
        <w:t xml:space="preserve"> eligibility determination </w:t>
      </w:r>
      <w:r w:rsidR="00A2245E">
        <w:t>procedures.</w:t>
      </w:r>
      <w:r w:rsidR="00752F24">
        <w:t xml:space="preserve"> </w:t>
      </w:r>
      <w:r w:rsidR="0087573D">
        <w:t>The author’s</w:t>
      </w:r>
      <w:r w:rsidR="00655C22">
        <w:t xml:space="preserve"> current</w:t>
      </w:r>
      <w:r w:rsidR="0087573D">
        <w:t xml:space="preserve"> preference is to not utilize </w:t>
      </w:r>
      <w:r w:rsidR="00541886">
        <w:t xml:space="preserve">an asset test as </w:t>
      </w:r>
      <w:r w:rsidR="00A60D75">
        <w:t>it is thought that the</w:t>
      </w:r>
      <w:r w:rsidR="00047BBB">
        <w:t xml:space="preserve"> </w:t>
      </w:r>
      <w:r w:rsidR="0086223F">
        <w:t>overhead involved</w:t>
      </w:r>
      <w:r w:rsidR="00A60D75">
        <w:t xml:space="preserve"> in administering</w:t>
      </w:r>
      <w:r w:rsidR="002951B4">
        <w:t xml:space="preserve"> such eligibility criteria</w:t>
      </w:r>
      <w:r w:rsidR="00047BBB">
        <w:t xml:space="preserve"> is not cost-effective</w:t>
      </w:r>
      <w:r w:rsidR="008D6CA1">
        <w:t>; but this is a matter that merits additional deliberation.</w:t>
      </w:r>
      <w:r w:rsidR="00047BBB">
        <w:t xml:space="preserve"> </w:t>
      </w:r>
      <w:r w:rsidR="007B1CD9">
        <w:t>This presentation assume</w:t>
      </w:r>
      <w:r w:rsidR="006F1DD2">
        <w:t>s</w:t>
      </w:r>
      <w:r w:rsidR="007B1CD9">
        <w:t xml:space="preserve"> MassHealth </w:t>
      </w:r>
      <w:r w:rsidR="009871E3">
        <w:t>will proceed</w:t>
      </w:r>
      <w:r w:rsidR="007B1CD9">
        <w:t xml:space="preserve"> with a </w:t>
      </w:r>
      <w:r w:rsidR="006F1DD2">
        <w:t>ceiling of $130,000</w:t>
      </w:r>
      <w:r w:rsidR="00982B46">
        <w:rPr>
          <w:rStyle w:val="FootnoteReference"/>
        </w:rPr>
        <w:footnoteReference w:id="1"/>
      </w:r>
      <w:r w:rsidR="006F1DD2">
        <w:t>.</w:t>
      </w:r>
    </w:p>
    <w:p w14:paraId="2CB26081" w14:textId="7657236B" w:rsidR="00C80D4B" w:rsidRDefault="005F69F0" w:rsidP="001A3274">
      <w:pPr>
        <w:pStyle w:val="ListParagraph"/>
        <w:numPr>
          <w:ilvl w:val="0"/>
          <w:numId w:val="31"/>
        </w:numPr>
        <w:spacing w:after="120" w:line="240" w:lineRule="auto"/>
        <w:contextualSpacing w:val="0"/>
      </w:pPr>
      <w:r>
        <w:t>Unlike the Frail Elder Waiver (and any other Massachusetts 1915(c) Waiver), to implement</w:t>
      </w:r>
      <w:r w:rsidR="006E3D6F">
        <w:t xml:space="preserve"> an individual cost limit on combined waiver </w:t>
      </w:r>
      <w:r w:rsidR="006E3D6F" w:rsidRPr="00D20454">
        <w:rPr>
          <w:b/>
          <w:bCs/>
        </w:rPr>
        <w:t>and state plan services</w:t>
      </w:r>
      <w:r w:rsidR="00D20454">
        <w:t>. The emphasis on including state plan services is to proactively address anticipate</w:t>
      </w:r>
      <w:r w:rsidR="00D07CD8">
        <w:t>d</w:t>
      </w:r>
      <w:r w:rsidR="00D20454">
        <w:t xml:space="preserve"> MassHealth concerns about </w:t>
      </w:r>
      <w:r w:rsidR="008B0107">
        <w:t>creating an exposure to expanding AFC</w:t>
      </w:r>
      <w:r w:rsidR="00905895">
        <w:t xml:space="preserve">, PCA, or ADH services. The individual service cap </w:t>
      </w:r>
      <w:r w:rsidR="00BF1B8E">
        <w:t xml:space="preserve">applies to </w:t>
      </w:r>
      <w:r w:rsidR="00BF1B8E" w:rsidRPr="005A78B9">
        <w:rPr>
          <w:u w:val="single"/>
        </w:rPr>
        <w:t>all</w:t>
      </w:r>
      <w:r w:rsidR="00BF1B8E">
        <w:t xml:space="preserve"> MassHealth provided services</w:t>
      </w:r>
      <w:r w:rsidR="008D3661">
        <w:t xml:space="preserve"> (not just </w:t>
      </w:r>
      <w:r w:rsidR="005A78B9">
        <w:t xml:space="preserve">HCBS </w:t>
      </w:r>
      <w:r w:rsidR="008D3661">
        <w:t>waiver services)</w:t>
      </w:r>
      <w:r w:rsidR="00BF1B8E">
        <w:t xml:space="preserve">, and the cap would be set in a manner consistent with </w:t>
      </w:r>
      <w:r w:rsidR="00191A9A">
        <w:t xml:space="preserve">current ECOP </w:t>
      </w:r>
      <w:r w:rsidR="00E44C65">
        <w:t xml:space="preserve">cost obligations. The recommended </w:t>
      </w:r>
      <w:r w:rsidR="00303565">
        <w:t>cap</w:t>
      </w:r>
      <w:r w:rsidR="001E5E7B">
        <w:t xml:space="preserve"> is</w:t>
      </w:r>
      <w:r w:rsidR="00303565">
        <w:t xml:space="preserve"> </w:t>
      </w:r>
      <w:r w:rsidR="00003F3D">
        <w:t>$1,2</w:t>
      </w:r>
      <w:r w:rsidR="00F369EE">
        <w:t>75 per month</w:t>
      </w:r>
      <w:r w:rsidR="00D066B0">
        <w:t xml:space="preserve"> </w:t>
      </w:r>
      <w:r w:rsidR="00550C2D" w:rsidRPr="00B31FD9">
        <w:t>(see below discussion “</w:t>
      </w:r>
      <w:r w:rsidR="005E39B9">
        <w:t xml:space="preserve">Leveraging 1915(c) </w:t>
      </w:r>
      <w:r w:rsidR="001841AC">
        <w:t>O</w:t>
      </w:r>
      <w:r w:rsidR="005E39B9">
        <w:t xml:space="preserve">ption for </w:t>
      </w:r>
      <w:r w:rsidR="001841AC">
        <w:t>S</w:t>
      </w:r>
      <w:r w:rsidR="005E39B9">
        <w:t xml:space="preserve">tates to </w:t>
      </w:r>
      <w:r w:rsidR="001841AC">
        <w:t>Adopt</w:t>
      </w:r>
      <w:r w:rsidR="00086E9E">
        <w:t xml:space="preserve"> an Individual Cost Limit Inclusive of State Plan Service </w:t>
      </w:r>
      <w:r w:rsidR="005C1129">
        <w:t>Costs”</w:t>
      </w:r>
      <w:r w:rsidR="00550C2D" w:rsidRPr="00B31FD9">
        <w:t>)</w:t>
      </w:r>
      <w:r w:rsidR="005C1129">
        <w:t>.</w:t>
      </w:r>
    </w:p>
    <w:p w14:paraId="452CCD12" w14:textId="44B854C8" w:rsidR="008860A1" w:rsidRDefault="00F265CD" w:rsidP="001A3274">
      <w:pPr>
        <w:pStyle w:val="ListParagraph"/>
        <w:numPr>
          <w:ilvl w:val="1"/>
          <w:numId w:val="31"/>
        </w:numPr>
        <w:spacing w:after="120" w:line="240" w:lineRule="auto"/>
        <w:contextualSpacing w:val="0"/>
      </w:pPr>
      <w:r>
        <w:lastRenderedPageBreak/>
        <w:t xml:space="preserve">For </w:t>
      </w:r>
      <w:r w:rsidR="00347DFE">
        <w:t xml:space="preserve">Limited </w:t>
      </w:r>
      <w:r>
        <w:t>Frail Elder Waiver</w:t>
      </w:r>
      <w:r w:rsidR="00347DFE">
        <w:t xml:space="preserve"> </w:t>
      </w:r>
      <w:r>
        <w:t>participants who have service need</w:t>
      </w:r>
      <w:r w:rsidR="0087791C">
        <w:t>s</w:t>
      </w:r>
      <w:r>
        <w:t xml:space="preserve"> that exceed the service cap, the consumer can pursue </w:t>
      </w:r>
      <w:r w:rsidR="00D05EDB">
        <w:t>eligibility in the traditional Frail Elder Waiver which does not have an individual service limit.</w:t>
      </w:r>
      <w:r w:rsidR="006D33AE">
        <w:t xml:space="preserve"> Keep in mind that such consumer</w:t>
      </w:r>
      <w:r w:rsidR="00752281">
        <w:t>s</w:t>
      </w:r>
      <w:r w:rsidR="006D33AE">
        <w:t xml:space="preserve"> will need to satisfy the</w:t>
      </w:r>
      <w:r w:rsidR="006B688B">
        <w:t xml:space="preserve"> </w:t>
      </w:r>
      <w:r w:rsidR="007141A8">
        <w:t>stricter</w:t>
      </w:r>
      <w:r w:rsidR="006D33AE">
        <w:t xml:space="preserve"> </w:t>
      </w:r>
      <w:r w:rsidR="006B688B">
        <w:t>asset/resource requirements of the</w:t>
      </w:r>
      <w:r w:rsidR="00283750">
        <w:t xml:space="preserve"> traditional</w:t>
      </w:r>
      <w:r w:rsidR="006B688B">
        <w:t xml:space="preserve"> Frail Elder Waiver</w:t>
      </w:r>
      <w:r w:rsidR="0087791C">
        <w:t xml:space="preserve"> in order to access the more generous service plan.</w:t>
      </w:r>
    </w:p>
    <w:p w14:paraId="47735C13" w14:textId="1AA37F16" w:rsidR="0087791C" w:rsidRDefault="00241E14" w:rsidP="001A3274">
      <w:pPr>
        <w:pStyle w:val="ListParagraph"/>
        <w:numPr>
          <w:ilvl w:val="0"/>
          <w:numId w:val="31"/>
        </w:numPr>
        <w:spacing w:after="120" w:line="240" w:lineRule="auto"/>
        <w:contextualSpacing w:val="0"/>
      </w:pPr>
      <w:r>
        <w:t xml:space="preserve">Unlike the Frail Elder Waiver, to implement a </w:t>
      </w:r>
      <w:r w:rsidR="00E172C2">
        <w:t>point-in-time</w:t>
      </w:r>
      <w:r w:rsidR="004B79ED">
        <w:t xml:space="preserve"> enrollment</w:t>
      </w:r>
      <w:r w:rsidR="002727FD">
        <w:t xml:space="preserve"> limitation on </w:t>
      </w:r>
      <w:r w:rsidR="00AC09D5">
        <w:t xml:space="preserve">the number of active monthly participants. </w:t>
      </w:r>
      <w:r w:rsidR="004B79ED">
        <w:t xml:space="preserve">This monthly </w:t>
      </w:r>
      <w:r w:rsidR="002F05E4">
        <w:t xml:space="preserve">enrollment limitation will essentially correspond with the </w:t>
      </w:r>
      <w:r w:rsidR="004B0650">
        <w:t xml:space="preserve">number of ECOP-eligible </w:t>
      </w:r>
      <w:r w:rsidR="009451AF">
        <w:t>participants. This feature will guard against likely “woodwork effect” concerns</w:t>
      </w:r>
      <w:r w:rsidR="008C5822">
        <w:t xml:space="preserve"> that will be initially</w:t>
      </w:r>
      <w:r w:rsidR="009451AF">
        <w:t xml:space="preserve"> raised by MassHealth management.</w:t>
      </w:r>
      <w:r w:rsidR="008C5822">
        <w:t xml:space="preserve"> </w:t>
      </w:r>
    </w:p>
    <w:p w14:paraId="381AE84C" w14:textId="147C8B11" w:rsidR="00C31593" w:rsidRDefault="00453C8A" w:rsidP="001A3274">
      <w:pPr>
        <w:pStyle w:val="ListParagraph"/>
        <w:numPr>
          <w:ilvl w:val="0"/>
          <w:numId w:val="31"/>
        </w:numPr>
        <w:spacing w:after="120" w:line="240" w:lineRule="auto"/>
        <w:contextualSpacing w:val="0"/>
      </w:pPr>
      <w:r>
        <w:t xml:space="preserve">Year </w:t>
      </w:r>
      <w:r w:rsidR="001135A8">
        <w:t>O</w:t>
      </w:r>
      <w:r>
        <w:t>ne of the waiver to include target population criteria</w:t>
      </w:r>
      <w:r w:rsidR="00242354">
        <w:t xml:space="preserve"> that</w:t>
      </w:r>
      <w:r w:rsidR="001C2C65">
        <w:t xml:space="preserve"> reserves enrollment capacity to first enroll individuals in the state home care program </w:t>
      </w:r>
      <w:r w:rsidR="00C87788">
        <w:t>who are participating in or waitlisted for the ECOP program.</w:t>
      </w:r>
    </w:p>
    <w:p w14:paraId="1DC7D216" w14:textId="77777777" w:rsidR="00DA30B0" w:rsidRDefault="00DA30B0" w:rsidP="00855982"/>
    <w:p w14:paraId="798ED5D4" w14:textId="0AEB8A57" w:rsidR="00FB2C4B" w:rsidRPr="00DB642F" w:rsidRDefault="00DB642F" w:rsidP="004C15ED">
      <w:pPr>
        <w:pStyle w:val="Heading3"/>
      </w:pPr>
      <w:r w:rsidRPr="00DB642F">
        <w:t>Fiscal Impact Overview</w:t>
      </w:r>
    </w:p>
    <w:p w14:paraId="34E127F0" w14:textId="130C633F" w:rsidR="00DB642F" w:rsidRDefault="00551870" w:rsidP="00855982">
      <w:r>
        <w:t xml:space="preserve">The reader who is interested in </w:t>
      </w:r>
      <w:r w:rsidR="000E2A1A">
        <w:t xml:space="preserve">comprehensively reviewing the financial proposition is strongly encouraged to </w:t>
      </w:r>
      <w:r w:rsidR="00961E41">
        <w:t xml:space="preserve">examine the accompanying </w:t>
      </w:r>
      <w:r w:rsidR="00C537D6">
        <w:t xml:space="preserve">excel </w:t>
      </w:r>
      <w:r w:rsidR="00961E41">
        <w:t>workbook, “</w:t>
      </w:r>
      <w:r w:rsidR="00C537D6">
        <w:t xml:space="preserve">Optimizing ECOP Program for Full Enrollment and </w:t>
      </w:r>
      <w:r w:rsidR="00BD7D19">
        <w:t xml:space="preserve">FFP Maximization”. Figure 3 </w:t>
      </w:r>
      <w:r w:rsidR="00F75BC2">
        <w:t xml:space="preserve">offers summary analysis that replicates </w:t>
      </w:r>
      <w:r w:rsidR="007307D2">
        <w:t xml:space="preserve">the Commonwealth September 2025 service experience with </w:t>
      </w:r>
      <w:r w:rsidR="00493CB6">
        <w:t>6,919 active ECOP-eligible consumers (836 of whom were</w:t>
      </w:r>
      <w:r w:rsidR="00402252">
        <w:t xml:space="preserve"> waitlisted</w:t>
      </w:r>
      <w:r w:rsidR="00744A23">
        <w:t>) and</w:t>
      </w:r>
      <w:r w:rsidR="00402252">
        <w:t xml:space="preserve"> simulates their service experience assuming the </w:t>
      </w:r>
      <w:r w:rsidR="00347DFE">
        <w:t xml:space="preserve">Limited </w:t>
      </w:r>
      <w:r w:rsidR="00402252">
        <w:t>Frail Elder Waiver</w:t>
      </w:r>
      <w:r w:rsidR="00347DFE">
        <w:t xml:space="preserve"> p</w:t>
      </w:r>
      <w:r w:rsidR="00402252">
        <w:t>rogram w</w:t>
      </w:r>
      <w:r w:rsidR="002F4218">
        <w:t>ere</w:t>
      </w:r>
      <w:r w:rsidR="00402252">
        <w:t xml:space="preserve"> in place. </w:t>
      </w:r>
      <w:r w:rsidR="00FD4026">
        <w:t xml:space="preserve">In annualized terms, analysis </w:t>
      </w:r>
      <w:r w:rsidR="000D0205">
        <w:t>suggests</w:t>
      </w:r>
      <w:r w:rsidR="00FD4026">
        <w:t xml:space="preserve"> that </w:t>
      </w:r>
      <w:r w:rsidR="00FD4026" w:rsidRPr="000D0205">
        <w:rPr>
          <w:u w:val="single"/>
        </w:rPr>
        <w:t>after</w:t>
      </w:r>
      <w:r w:rsidR="000D65C5">
        <w:t xml:space="preserve"> eliminating the waitlist and</w:t>
      </w:r>
      <w:r w:rsidR="00FD4026">
        <w:t xml:space="preserve"> factoring for the new FFP revenue that will be generated by this program, the net cost </w:t>
      </w:r>
      <w:r w:rsidR="000D65C5">
        <w:t>to the general fund</w:t>
      </w:r>
      <w:r w:rsidR="008828A9">
        <w:t xml:space="preserve"> for serving these consumers would have been $38.5m less than</w:t>
      </w:r>
      <w:r w:rsidR="00E4482A">
        <w:t xml:space="preserve"> the </w:t>
      </w:r>
      <w:r w:rsidR="001C611E">
        <w:t>current program operational footprint.</w:t>
      </w:r>
    </w:p>
    <w:p w14:paraId="5FF3943C" w14:textId="77777777" w:rsidR="002A4761" w:rsidRDefault="002A4761" w:rsidP="00855982"/>
    <w:p w14:paraId="6872B577" w14:textId="692279FA" w:rsidR="00994C5C" w:rsidRDefault="00994C5C" w:rsidP="00994C5C">
      <w:pPr>
        <w:spacing w:after="0"/>
        <w:jc w:val="center"/>
        <w:rPr>
          <w:u w:val="single"/>
        </w:rPr>
      </w:pPr>
      <w:r w:rsidRPr="0072312A">
        <w:rPr>
          <w:u w:val="single"/>
        </w:rPr>
        <w:t xml:space="preserve">Figure </w:t>
      </w:r>
      <w:r>
        <w:rPr>
          <w:u w:val="single"/>
        </w:rPr>
        <w:t>3</w:t>
      </w:r>
    </w:p>
    <w:p w14:paraId="13A8922A" w14:textId="77777777" w:rsidR="00994C5C" w:rsidRPr="0072312A" w:rsidRDefault="00994C5C" w:rsidP="00994C5C">
      <w:pPr>
        <w:spacing w:after="0"/>
        <w:jc w:val="center"/>
        <w:rPr>
          <w:u w:val="single"/>
        </w:rPr>
      </w:pPr>
    </w:p>
    <w:p w14:paraId="16660943" w14:textId="069F40CE" w:rsidR="00994C5C" w:rsidRDefault="00CD1E31" w:rsidP="00CD1E31">
      <w:pPr>
        <w:spacing w:after="0"/>
        <w:jc w:val="center"/>
        <w:rPr>
          <w:b/>
          <w:bCs/>
        </w:rPr>
      </w:pPr>
      <w:r>
        <w:rPr>
          <w:b/>
          <w:bCs/>
        </w:rPr>
        <w:t xml:space="preserve">Comparing Current State Fiscal Operation of ECOP-Eligible Consumers to </w:t>
      </w:r>
    </w:p>
    <w:p w14:paraId="76FBF791" w14:textId="6C23A018" w:rsidR="00CD1E31" w:rsidRDefault="00CD1E31" w:rsidP="00CD1E31">
      <w:pPr>
        <w:spacing w:after="0"/>
        <w:jc w:val="center"/>
        <w:rPr>
          <w:b/>
          <w:bCs/>
        </w:rPr>
      </w:pPr>
      <w:r>
        <w:rPr>
          <w:b/>
          <w:bCs/>
        </w:rPr>
        <w:t>Simulat</w:t>
      </w:r>
      <w:r w:rsidR="00C4421C">
        <w:rPr>
          <w:b/>
          <w:bCs/>
        </w:rPr>
        <w:t>ed Fiscal Operation with new “</w:t>
      </w:r>
      <w:r w:rsidR="00E10E14">
        <w:rPr>
          <w:b/>
          <w:bCs/>
        </w:rPr>
        <w:t xml:space="preserve">Limited </w:t>
      </w:r>
      <w:r w:rsidR="00C4421C">
        <w:rPr>
          <w:b/>
          <w:bCs/>
        </w:rPr>
        <w:t>Frail Elder Waiver” Offering</w:t>
      </w:r>
    </w:p>
    <w:p w14:paraId="18A129B7" w14:textId="77777777" w:rsidR="0046224C" w:rsidRDefault="0046224C" w:rsidP="00994C5C">
      <w:pPr>
        <w:spacing w:after="0"/>
        <w:jc w:val="center"/>
        <w:rPr>
          <w:b/>
          <w:bCs/>
        </w:rPr>
      </w:pPr>
    </w:p>
    <w:p w14:paraId="083DBFFE" w14:textId="20E19DD0" w:rsidR="001C611E" w:rsidRDefault="0046224C" w:rsidP="00CD1E31">
      <w:pPr>
        <w:jc w:val="center"/>
      </w:pPr>
      <w:r>
        <w:rPr>
          <w:noProof/>
          <w:lang w:eastAsia="en-US"/>
        </w:rPr>
        <w:drawing>
          <wp:inline distT="0" distB="0" distL="0" distR="0" wp14:anchorId="0A6FF60E" wp14:editId="63A0F0C3">
            <wp:extent cx="6422901" cy="1084921"/>
            <wp:effectExtent l="0" t="0" r="0" b="1270"/>
            <wp:docPr id="604307999" name="Picture 4" descr="Demontrates that as a result of newly generated federal funds, the initiative will be able to eliminate the ECOP waitlist while costing the Commonwealth at least thirty-eight million dollars less per year in comparison to the the current pro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4307999" name="Picture 4" descr="Demontrates that as a result of newly generated federal funds, the initiative will be able to eliminate the ECOP waitlist while costing the Commonwealth at least thirty-eight million dollars less per year in comparison to the the current program."/>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440318" cy="1087863"/>
                    </a:xfrm>
                    <a:prstGeom prst="rect">
                      <a:avLst/>
                    </a:prstGeom>
                  </pic:spPr>
                </pic:pic>
              </a:graphicData>
            </a:graphic>
          </wp:inline>
        </w:drawing>
      </w:r>
    </w:p>
    <w:p w14:paraId="226287DD" w14:textId="74DCFEEC" w:rsidR="00067072" w:rsidRDefault="00456803" w:rsidP="00067072">
      <w:r w:rsidRPr="00B14C0F">
        <w:rPr>
          <w:b/>
          <w:bCs/>
        </w:rPr>
        <w:t>For the benefit of</w:t>
      </w:r>
      <w:r w:rsidR="002A4761">
        <w:rPr>
          <w:b/>
          <w:bCs/>
        </w:rPr>
        <w:t xml:space="preserve"> the audience of</w:t>
      </w:r>
      <w:r w:rsidRPr="00B14C0F">
        <w:rPr>
          <w:b/>
          <w:bCs/>
        </w:rPr>
        <w:t xml:space="preserve"> elder care service advocates, the author emphasizes </w:t>
      </w:r>
      <w:r w:rsidR="00500A3F" w:rsidRPr="00B14C0F">
        <w:rPr>
          <w:b/>
          <w:bCs/>
        </w:rPr>
        <w:t>that the simulated $38.5m net cost reduction is</w:t>
      </w:r>
      <w:r w:rsidR="00500A3F" w:rsidRPr="002A4761">
        <w:rPr>
          <w:b/>
          <w:bCs/>
          <w:u w:val="single"/>
        </w:rPr>
        <w:t xml:space="preserve"> after</w:t>
      </w:r>
      <w:r w:rsidR="00500A3F" w:rsidRPr="00B14C0F">
        <w:rPr>
          <w:b/>
          <w:bCs/>
        </w:rPr>
        <w:t xml:space="preserve"> </w:t>
      </w:r>
      <w:r w:rsidR="00C711D1" w:rsidRPr="00B14C0F">
        <w:rPr>
          <w:b/>
          <w:bCs/>
        </w:rPr>
        <w:t>relieving the ECOP Waitlist</w:t>
      </w:r>
      <w:r w:rsidR="003F443E" w:rsidRPr="00B14C0F">
        <w:rPr>
          <w:b/>
          <w:bCs/>
        </w:rPr>
        <w:t xml:space="preserve"> and maximizing enrollment in the new Waiver program.</w:t>
      </w:r>
      <w:r w:rsidR="003F443E">
        <w:t xml:space="preserve"> In the below</w:t>
      </w:r>
      <w:r w:rsidR="00A7139B">
        <w:t xml:space="preserve"> section “</w:t>
      </w:r>
      <w:r w:rsidR="00EE733E">
        <w:t>A</w:t>
      </w:r>
      <w:r w:rsidR="00A7139B">
        <w:t xml:space="preserve">dditional </w:t>
      </w:r>
      <w:r w:rsidR="00EE733E">
        <w:t>C</w:t>
      </w:r>
      <w:r w:rsidR="00A7139B">
        <w:t>onsiderations”</w:t>
      </w:r>
      <w:r w:rsidR="002A4761">
        <w:t xml:space="preserve">, </w:t>
      </w:r>
      <w:r w:rsidR="00A7139B">
        <w:t xml:space="preserve">some </w:t>
      </w:r>
      <w:r w:rsidR="00914891">
        <w:t xml:space="preserve">re-investment considerations are highlighted. </w:t>
      </w:r>
      <w:r w:rsidR="0029719A">
        <w:t xml:space="preserve">Traditionally, on an initiative such as this </w:t>
      </w:r>
      <w:r w:rsidR="008F6CFA">
        <w:t xml:space="preserve">a broad coalition of elder service advocates would </w:t>
      </w:r>
      <w:r w:rsidR="006F6343">
        <w:t xml:space="preserve">collaborate to promote the majority of the net-cost </w:t>
      </w:r>
      <w:r w:rsidR="002A4761">
        <w:t>savings</w:t>
      </w:r>
      <w:r w:rsidR="006F6343">
        <w:t xml:space="preserve"> re-invested into the </w:t>
      </w:r>
      <w:r w:rsidR="00B14C0F">
        <w:t>Elder Services portfolio.</w:t>
      </w:r>
    </w:p>
    <w:p w14:paraId="3D059307" w14:textId="19E65780" w:rsidR="00B65CCF" w:rsidRDefault="00B65CCF">
      <w:pPr>
        <w:rPr>
          <w:rFonts w:asciiTheme="majorHAnsi" w:eastAsiaTheme="majorEastAsia" w:hAnsiTheme="majorHAnsi" w:cstheme="majorBidi"/>
          <w:sz w:val="36"/>
          <w:szCs w:val="36"/>
        </w:rPr>
      </w:pPr>
      <w:r>
        <w:rPr>
          <w:rFonts w:asciiTheme="majorHAnsi" w:eastAsiaTheme="majorEastAsia" w:hAnsiTheme="majorHAnsi" w:cstheme="majorBidi"/>
          <w:sz w:val="36"/>
          <w:szCs w:val="36"/>
        </w:rPr>
        <w:br w:type="page"/>
      </w:r>
    </w:p>
    <w:p w14:paraId="3C296D7F" w14:textId="070C6809" w:rsidR="00DA30B0" w:rsidRDefault="000B033F" w:rsidP="004C15ED">
      <w:pPr>
        <w:pStyle w:val="Heading2"/>
        <w:pBdr>
          <w:bottom w:val="single" w:sz="4" w:space="1" w:color="auto"/>
        </w:pBdr>
      </w:pPr>
      <w:r w:rsidRPr="00A37D94">
        <w:lastRenderedPageBreak/>
        <w:t xml:space="preserve">Applying </w:t>
      </w:r>
      <w:r w:rsidR="00004CB2" w:rsidRPr="00A37D94">
        <w:t>a</w:t>
      </w:r>
      <w:r>
        <w:t xml:space="preserve"> </w:t>
      </w:r>
      <w:r w:rsidRPr="000B033F">
        <w:t>Targeted Resource Disregard for Applicants to</w:t>
      </w:r>
      <w:r w:rsidR="00004CB2" w:rsidRPr="00A37D94">
        <w:t xml:space="preserve"> a</w:t>
      </w:r>
      <w:r w:rsidRPr="000B033F">
        <w:t xml:space="preserve"> </w:t>
      </w:r>
      <w:r w:rsidR="00E10E14">
        <w:t xml:space="preserve">Limited </w:t>
      </w:r>
      <w:r w:rsidRPr="000B033F">
        <w:t>Frail Elder Waiver</w:t>
      </w:r>
      <w:r w:rsidR="00E10E14">
        <w:t xml:space="preserve"> </w:t>
      </w:r>
      <w:r w:rsidRPr="000B033F">
        <w:t>Program</w:t>
      </w:r>
    </w:p>
    <w:p w14:paraId="01FFE250" w14:textId="77777777" w:rsidR="004C15ED" w:rsidRPr="004C15ED" w:rsidRDefault="004C15ED" w:rsidP="004C15ED"/>
    <w:p w14:paraId="7D4B4519" w14:textId="1C4AFCE5" w:rsidR="00C26C58" w:rsidRDefault="00C26C58" w:rsidP="00C26C58">
      <w:r w:rsidRPr="00C26C58">
        <w:t>CMS State Medicaid Director Letter (SMD #21</w:t>
      </w:r>
      <w:r w:rsidRPr="00C26C58">
        <w:noBreakHyphen/>
        <w:t>004, December 7, 2021) provides states with flexibility under §1902(r)(2) of the Social Security Act to apply less restrictive financial methodologies—including income and resource disregards—specifically for individuals seeking Home and Community-Based Services (HCBS) under §1915(c), §1915(i), §1915(k), or §1115 authorities. This flexibility allows states to tailor financial eligibility rules for HCBS populations without altering institutional eligibility standards.</w:t>
      </w:r>
    </w:p>
    <w:p w14:paraId="000628F9" w14:textId="087DC678" w:rsidR="00C52344" w:rsidRDefault="00A429DE" w:rsidP="00C26C58">
      <w:r>
        <w:t xml:space="preserve">The concept </w:t>
      </w:r>
      <w:r w:rsidR="00E977D9">
        <w:t>for Massachusetts</w:t>
      </w:r>
      <w:r>
        <w:t xml:space="preserve"> is to consider the emergence of SMD #21-004, and to give fresh consideration of the </w:t>
      </w:r>
      <w:r w:rsidR="00AD15E7">
        <w:t xml:space="preserve">Commonwealth’s long-standing safety net commitments </w:t>
      </w:r>
      <w:r w:rsidR="001507A5">
        <w:t xml:space="preserve">that it has made via the AGE ECOP program. </w:t>
      </w:r>
      <w:r w:rsidR="00BE583C">
        <w:t xml:space="preserve">While some states may rely on </w:t>
      </w:r>
      <w:r w:rsidR="0027157D">
        <w:t xml:space="preserve">SMD #21-004 to launch new initiatives, </w:t>
      </w:r>
      <w:r w:rsidR="00730135">
        <w:t>it is also incumbent on state policy makers to consider</w:t>
      </w:r>
      <w:r w:rsidR="00E919C1">
        <w:t xml:space="preserve"> how to apply new HCBS </w:t>
      </w:r>
      <w:r w:rsidR="000D49EB">
        <w:t>p</w:t>
      </w:r>
      <w:r w:rsidR="00E919C1">
        <w:t xml:space="preserve">olicy tools </w:t>
      </w:r>
      <w:r w:rsidR="000D49EB">
        <w:t xml:space="preserve">enabled by CMS towards existing state programs. </w:t>
      </w:r>
      <w:r w:rsidR="00B10486">
        <w:t xml:space="preserve">It is only appropriate for Massachusetts to </w:t>
      </w:r>
      <w:r w:rsidR="005C362B">
        <w:t xml:space="preserve">be able to attain FFP revenue in instances where CMS has extended its </w:t>
      </w:r>
      <w:r w:rsidR="00154D7A">
        <w:t xml:space="preserve">Medicaid-funded </w:t>
      </w:r>
      <w:r w:rsidR="005C362B">
        <w:t>HCBS</w:t>
      </w:r>
      <w:r w:rsidR="00154D7A">
        <w:t xml:space="preserve"> offerings in areas where the Commonwealth has </w:t>
      </w:r>
      <w:r w:rsidR="006F7B46">
        <w:t>been a</w:t>
      </w:r>
      <w:r w:rsidR="004A338E">
        <w:t>n established</w:t>
      </w:r>
      <w:r w:rsidR="006F7B46">
        <w:t xml:space="preserve"> practice leader signaling </w:t>
      </w:r>
      <w:r w:rsidR="006569EC">
        <w:t xml:space="preserve">where CMS needs to </w:t>
      </w:r>
      <w:r w:rsidR="001A7B46">
        <w:t>improve and innovate on HCBS policy.</w:t>
      </w:r>
    </w:p>
    <w:p w14:paraId="7389F47C" w14:textId="199A5C69" w:rsidR="00E54036" w:rsidRDefault="00C52344" w:rsidP="00C26C58">
      <w:r>
        <w:t xml:space="preserve">Many years ago Massachusetts recognized that </w:t>
      </w:r>
      <w:r w:rsidR="00A90C4A">
        <w:t>the nursing home asset-test eligibility criteria</w:t>
      </w:r>
      <w:r w:rsidR="008F559A">
        <w:t xml:space="preserve"> was burdensome and a barrier to low-income elders who required</w:t>
      </w:r>
      <w:r w:rsidR="00764B0A">
        <w:t xml:space="preserve"> prompt</w:t>
      </w:r>
      <w:r w:rsidR="008F559A">
        <w:t xml:space="preserve"> access to a meaningful level of HCBS supports. As such, the ECOP program was </w:t>
      </w:r>
      <w:r w:rsidR="00DF321D">
        <w:t>initially</w:t>
      </w:r>
      <w:r w:rsidR="00B76580">
        <w:t xml:space="preserve"> launched</w:t>
      </w:r>
      <w:r w:rsidR="00DF321D">
        <w:t xml:space="preserve"> a</w:t>
      </w:r>
      <w:r w:rsidR="00B76580">
        <w:t>s</w:t>
      </w:r>
      <w:r w:rsidR="00DF321D">
        <w:t xml:space="preserve"> </w:t>
      </w:r>
      <w:r w:rsidR="00B76580">
        <w:t xml:space="preserve">a </w:t>
      </w:r>
      <w:r w:rsidR="00DF321D">
        <w:t>proving ground</w:t>
      </w:r>
      <w:r w:rsidR="00B76580">
        <w:t xml:space="preserve"> for the Frail Elder Waiver</w:t>
      </w:r>
      <w:r w:rsidR="00CF144D">
        <w:t xml:space="preserve"> and related expansion</w:t>
      </w:r>
      <w:r w:rsidR="004C2DBA">
        <w:t xml:space="preserve"> initiatives</w:t>
      </w:r>
      <w:r w:rsidR="00D56F2F">
        <w:t>….</w:t>
      </w:r>
      <w:r w:rsidR="00DF321D">
        <w:t>and</w:t>
      </w:r>
      <w:r w:rsidR="006F73F5">
        <w:t xml:space="preserve"> it</w:t>
      </w:r>
      <w:r w:rsidR="00DF321D">
        <w:t xml:space="preserve"> </w:t>
      </w:r>
      <w:r w:rsidR="00B76580">
        <w:t xml:space="preserve">now serves as </w:t>
      </w:r>
      <w:r w:rsidR="008F559A">
        <w:t>a bridge t</w:t>
      </w:r>
      <w:r w:rsidR="00CF144D">
        <w:t xml:space="preserve">o </w:t>
      </w:r>
      <w:r w:rsidR="006F73F5">
        <w:t>enable enhanced service plans while</w:t>
      </w:r>
      <w:r w:rsidR="00C23CEC">
        <w:t xml:space="preserve"> low-income elders are </w:t>
      </w:r>
      <w:r w:rsidR="00550EBF">
        <w:t>proceeding through the</w:t>
      </w:r>
      <w:r w:rsidR="008F559A">
        <w:t xml:space="preserve"> Frail Elder Waiver</w:t>
      </w:r>
      <w:r w:rsidR="00E54036">
        <w:t xml:space="preserve"> eligibility determination process.</w:t>
      </w:r>
      <w:r w:rsidR="008F559A">
        <w:t xml:space="preserve"> Now that CMS has issued the common-sense clarification that </w:t>
      </w:r>
      <w:r w:rsidR="00C07835">
        <w:t xml:space="preserve">decoupled </w:t>
      </w:r>
      <w:r w:rsidR="009B6809">
        <w:t xml:space="preserve">HCBS financial eligibility criteria from SNF financial eligibility criteria, it is </w:t>
      </w:r>
      <w:r w:rsidR="00864FF0">
        <w:t xml:space="preserve">prudent for Massachusetts to restructure the ECOP program accordingly. </w:t>
      </w:r>
    </w:p>
    <w:p w14:paraId="1DDA163C" w14:textId="461003AC" w:rsidR="009552DF" w:rsidRPr="00D87F89" w:rsidRDefault="00864FF0" w:rsidP="009552DF">
      <w:pPr>
        <w:rPr>
          <w:rFonts w:cstheme="minorHAnsi"/>
          <w:b/>
          <w:bCs/>
          <w:color w:val="0070C0"/>
        </w:rPr>
      </w:pPr>
      <w:r w:rsidRPr="00D87F89">
        <w:rPr>
          <w:b/>
          <w:bCs/>
          <w:color w:val="0070C0"/>
        </w:rPr>
        <w:t xml:space="preserve">Alternatively stated, if Massachusetts was today </w:t>
      </w:r>
      <w:r w:rsidR="001B65EA" w:rsidRPr="00D87F89">
        <w:rPr>
          <w:b/>
          <w:bCs/>
          <w:color w:val="0070C0"/>
        </w:rPr>
        <w:t xml:space="preserve">establishing an ECOP program, it would most likely take advantage of SMD #21-004 and it would bear resemblance to this proposed </w:t>
      </w:r>
      <w:r w:rsidR="001D02B9" w:rsidRPr="00D87F89">
        <w:rPr>
          <w:b/>
          <w:bCs/>
          <w:color w:val="0070C0"/>
        </w:rPr>
        <w:t xml:space="preserve">Limited </w:t>
      </w:r>
      <w:r w:rsidR="001B65EA" w:rsidRPr="00D87F89">
        <w:rPr>
          <w:b/>
          <w:bCs/>
          <w:color w:val="0070C0"/>
        </w:rPr>
        <w:t xml:space="preserve">Frail </w:t>
      </w:r>
      <w:r w:rsidR="001B65EA" w:rsidRPr="00D87F89">
        <w:rPr>
          <w:rFonts w:cstheme="minorHAnsi"/>
          <w:b/>
          <w:bCs/>
          <w:color w:val="0070C0"/>
        </w:rPr>
        <w:t>Elder Waiver</w:t>
      </w:r>
      <w:r w:rsidR="001D02B9" w:rsidRPr="00D87F89">
        <w:rPr>
          <w:rFonts w:cstheme="minorHAnsi"/>
          <w:b/>
          <w:bCs/>
          <w:color w:val="0070C0"/>
        </w:rPr>
        <w:t xml:space="preserve"> </w:t>
      </w:r>
      <w:r w:rsidR="00092484" w:rsidRPr="00D87F89">
        <w:rPr>
          <w:rFonts w:cstheme="minorHAnsi"/>
          <w:b/>
          <w:bCs/>
          <w:color w:val="0070C0"/>
        </w:rPr>
        <w:t>program.</w:t>
      </w:r>
      <w:r w:rsidR="00855F51" w:rsidRPr="00D87F89">
        <w:rPr>
          <w:rFonts w:cstheme="minorHAnsi"/>
          <w:b/>
          <w:bCs/>
          <w:color w:val="0070C0"/>
        </w:rPr>
        <w:t xml:space="preserve"> </w:t>
      </w:r>
    </w:p>
    <w:p w14:paraId="49728860" w14:textId="3EDF76B7" w:rsidR="005B66A9" w:rsidRPr="009552DF" w:rsidRDefault="005B66A9" w:rsidP="004C15ED">
      <w:pPr>
        <w:pStyle w:val="Heading3"/>
      </w:pPr>
      <w:r>
        <w:t xml:space="preserve">Suggested </w:t>
      </w:r>
      <w:r w:rsidRPr="005B66A9">
        <w:t>Implementation Steps</w:t>
      </w:r>
    </w:p>
    <w:p w14:paraId="2DEE2D50" w14:textId="3870DB2C" w:rsidR="005B66A9" w:rsidRDefault="00CE04C7" w:rsidP="00430C36">
      <w:pPr>
        <w:spacing w:before="100" w:beforeAutospacing="1" w:after="100" w:afterAutospacing="1" w:line="300" w:lineRule="atLeast"/>
        <w:rPr>
          <w:rFonts w:eastAsia="Times New Roman" w:cstheme="minorHAnsi"/>
          <w:i/>
          <w:iCs/>
          <w:sz w:val="21"/>
          <w:szCs w:val="21"/>
        </w:rPr>
      </w:pPr>
      <w:r>
        <w:rPr>
          <w:rFonts w:eastAsia="Times New Roman" w:cstheme="minorHAnsi"/>
          <w:b/>
          <w:bCs/>
          <w:sz w:val="21"/>
          <w:szCs w:val="21"/>
        </w:rPr>
        <w:t xml:space="preserve">Concurrent with the filing of a new 1915(c) Waiver </w:t>
      </w:r>
      <w:r w:rsidR="00284807">
        <w:rPr>
          <w:rFonts w:eastAsia="Times New Roman" w:cstheme="minorHAnsi"/>
          <w:b/>
          <w:bCs/>
          <w:sz w:val="21"/>
          <w:szCs w:val="21"/>
        </w:rPr>
        <w:t>[</w:t>
      </w:r>
      <w:r w:rsidR="001D02B9">
        <w:rPr>
          <w:rFonts w:eastAsia="Times New Roman" w:cstheme="minorHAnsi"/>
          <w:b/>
          <w:bCs/>
          <w:sz w:val="21"/>
          <w:szCs w:val="21"/>
        </w:rPr>
        <w:t xml:space="preserve">Limited </w:t>
      </w:r>
      <w:r w:rsidR="00284807">
        <w:rPr>
          <w:rFonts w:eastAsia="Times New Roman" w:cstheme="minorHAnsi"/>
          <w:b/>
          <w:bCs/>
          <w:sz w:val="21"/>
          <w:szCs w:val="21"/>
        </w:rPr>
        <w:t xml:space="preserve">Frail Elder Waiver], to also file a </w:t>
      </w:r>
      <w:r w:rsidR="005B66A9" w:rsidRPr="005B66A9">
        <w:rPr>
          <w:rFonts w:eastAsia="Times New Roman" w:cstheme="minorHAnsi"/>
          <w:b/>
          <w:bCs/>
          <w:sz w:val="21"/>
          <w:szCs w:val="21"/>
        </w:rPr>
        <w:t>State Plan Amendment (SPA):</w:t>
      </w:r>
      <w:r w:rsidR="005B66A9" w:rsidRPr="005B66A9">
        <w:rPr>
          <w:rFonts w:eastAsia="Times New Roman" w:cstheme="minorHAnsi"/>
          <w:sz w:val="21"/>
          <w:szCs w:val="21"/>
        </w:rPr>
        <w:br/>
        <w:t>Submit a SPA under §1902(r)(2) specifying the disregard:</w:t>
      </w:r>
      <w:r w:rsidR="009552DF">
        <w:rPr>
          <w:rFonts w:eastAsia="Times New Roman" w:cstheme="minorHAnsi"/>
          <w:sz w:val="21"/>
          <w:szCs w:val="21"/>
        </w:rPr>
        <w:t xml:space="preserve"> </w:t>
      </w:r>
      <w:r w:rsidR="005B66A9" w:rsidRPr="005B66A9">
        <w:rPr>
          <w:rFonts w:eastAsia="Times New Roman" w:cstheme="minorHAnsi"/>
          <w:i/>
          <w:iCs/>
          <w:sz w:val="21"/>
          <w:szCs w:val="21"/>
        </w:rPr>
        <w:t>For applicants under</w:t>
      </w:r>
      <w:r w:rsidR="009D35E5">
        <w:rPr>
          <w:rFonts w:eastAsia="Times New Roman" w:cstheme="minorHAnsi"/>
          <w:i/>
          <w:iCs/>
          <w:sz w:val="21"/>
          <w:szCs w:val="21"/>
        </w:rPr>
        <w:t xml:space="preserve"> the</w:t>
      </w:r>
      <w:r w:rsidR="005B66A9" w:rsidRPr="005B66A9">
        <w:rPr>
          <w:rFonts w:eastAsia="Times New Roman" w:cstheme="minorHAnsi"/>
          <w:i/>
          <w:iCs/>
          <w:sz w:val="21"/>
          <w:szCs w:val="21"/>
        </w:rPr>
        <w:t xml:space="preserve"> </w:t>
      </w:r>
      <w:r w:rsidR="009D35E5">
        <w:rPr>
          <w:rFonts w:eastAsia="Times New Roman" w:cstheme="minorHAnsi"/>
          <w:i/>
          <w:iCs/>
          <w:sz w:val="21"/>
          <w:szCs w:val="21"/>
        </w:rPr>
        <w:t xml:space="preserve">Limited </w:t>
      </w:r>
      <w:r w:rsidR="00745BC3">
        <w:rPr>
          <w:rFonts w:eastAsia="Times New Roman" w:cstheme="minorHAnsi"/>
          <w:i/>
          <w:iCs/>
          <w:sz w:val="21"/>
          <w:szCs w:val="21"/>
        </w:rPr>
        <w:t>Frail Elder Waiver</w:t>
      </w:r>
      <w:r w:rsidR="005B66A9" w:rsidRPr="005B66A9">
        <w:rPr>
          <w:rFonts w:eastAsia="Times New Roman" w:cstheme="minorHAnsi"/>
          <w:i/>
          <w:iCs/>
          <w:sz w:val="21"/>
          <w:szCs w:val="21"/>
        </w:rPr>
        <w:t>, resources up to $130,000 are disregarded for financial eligibility purposes.</w:t>
      </w:r>
    </w:p>
    <w:p w14:paraId="0D0E498D" w14:textId="4D8809B0" w:rsidR="009552DF" w:rsidRDefault="000751E6" w:rsidP="009552DF">
      <w:pPr>
        <w:spacing w:before="100" w:beforeAutospacing="1" w:after="100" w:afterAutospacing="1" w:line="300" w:lineRule="atLeast"/>
        <w:rPr>
          <w:rFonts w:eastAsia="Times New Roman" w:cstheme="minorHAnsi"/>
          <w:i/>
          <w:iCs/>
          <w:sz w:val="21"/>
          <w:szCs w:val="21"/>
        </w:rPr>
      </w:pPr>
      <w:r w:rsidRPr="000751E6">
        <w:rPr>
          <w:rFonts w:eastAsia="Times New Roman" w:cstheme="minorHAnsi"/>
          <w:sz w:val="21"/>
          <w:szCs w:val="21"/>
        </w:rPr>
        <w:t>Sample SPA language:</w:t>
      </w:r>
      <w:r w:rsidR="00F87B84">
        <w:rPr>
          <w:rFonts w:eastAsia="Times New Roman" w:cstheme="minorHAnsi"/>
          <w:sz w:val="21"/>
          <w:szCs w:val="21"/>
        </w:rPr>
        <w:t xml:space="preserve"> </w:t>
      </w:r>
      <w:r>
        <w:rPr>
          <w:rFonts w:eastAsia="Times New Roman" w:cstheme="minorHAnsi"/>
          <w:i/>
          <w:iCs/>
          <w:sz w:val="21"/>
          <w:szCs w:val="21"/>
        </w:rPr>
        <w:t>Massachusetts</w:t>
      </w:r>
      <w:r w:rsidR="00464DFB" w:rsidRPr="005B66A9">
        <w:rPr>
          <w:rFonts w:eastAsia="Times New Roman" w:cstheme="minorHAnsi"/>
          <w:i/>
          <w:iCs/>
          <w:sz w:val="21"/>
          <w:szCs w:val="21"/>
        </w:rPr>
        <w:t xml:space="preserve"> elects to apply a less restrictive resource methodology under §1902(r)(2) for individuals applying for </w:t>
      </w:r>
      <w:r w:rsidR="00EC69C9">
        <w:rPr>
          <w:rFonts w:eastAsia="Times New Roman" w:cstheme="minorHAnsi"/>
          <w:i/>
          <w:iCs/>
          <w:sz w:val="21"/>
          <w:szCs w:val="21"/>
        </w:rPr>
        <w:t>the</w:t>
      </w:r>
      <w:r w:rsidR="00150DB1">
        <w:rPr>
          <w:rFonts w:eastAsia="Times New Roman" w:cstheme="minorHAnsi"/>
          <w:i/>
          <w:iCs/>
          <w:sz w:val="21"/>
          <w:szCs w:val="21"/>
        </w:rPr>
        <w:t xml:space="preserve"> 1915(c)</w:t>
      </w:r>
      <w:r w:rsidR="00EC69C9">
        <w:rPr>
          <w:rFonts w:eastAsia="Times New Roman" w:cstheme="minorHAnsi"/>
          <w:i/>
          <w:iCs/>
          <w:sz w:val="21"/>
          <w:szCs w:val="21"/>
        </w:rPr>
        <w:t xml:space="preserve"> </w:t>
      </w:r>
      <w:r w:rsidR="004430B7">
        <w:rPr>
          <w:rFonts w:eastAsia="Times New Roman" w:cstheme="minorHAnsi"/>
          <w:i/>
          <w:iCs/>
          <w:sz w:val="21"/>
          <w:szCs w:val="21"/>
        </w:rPr>
        <w:t xml:space="preserve">Limited </w:t>
      </w:r>
      <w:r w:rsidR="00EC69C9">
        <w:rPr>
          <w:rFonts w:eastAsia="Times New Roman" w:cstheme="minorHAnsi"/>
          <w:i/>
          <w:iCs/>
          <w:sz w:val="21"/>
          <w:szCs w:val="21"/>
        </w:rPr>
        <w:t>Frail Elder Waiver</w:t>
      </w:r>
      <w:r w:rsidR="00464DFB" w:rsidRPr="005B66A9">
        <w:rPr>
          <w:rFonts w:eastAsia="Times New Roman" w:cstheme="minorHAnsi"/>
          <w:i/>
          <w:iCs/>
          <w:sz w:val="21"/>
          <w:szCs w:val="21"/>
        </w:rPr>
        <w:t>. Resources up to $130,000 will be disregarded when determining financial eligibility for this waiver population. This disregard does not apply to institutional eligibility groups or other Medicaid categories.</w:t>
      </w:r>
    </w:p>
    <w:p w14:paraId="393B2DAE" w14:textId="70A08780" w:rsidR="005B66A9" w:rsidRPr="009552DF" w:rsidRDefault="00F1704D" w:rsidP="004C15ED">
      <w:pPr>
        <w:pStyle w:val="Heading3"/>
        <w:rPr>
          <w:i/>
          <w:iCs/>
          <w:sz w:val="21"/>
          <w:szCs w:val="21"/>
        </w:rPr>
      </w:pPr>
      <w:r>
        <w:t>Governance Notes</w:t>
      </w:r>
    </w:p>
    <w:p w14:paraId="2E544F91" w14:textId="77777777" w:rsidR="005B66A9" w:rsidRPr="005B66A9" w:rsidRDefault="005B66A9" w:rsidP="005B66A9">
      <w:pPr>
        <w:numPr>
          <w:ilvl w:val="0"/>
          <w:numId w:val="33"/>
        </w:numPr>
        <w:spacing w:before="100" w:beforeAutospacing="1" w:after="100" w:afterAutospacing="1" w:line="300" w:lineRule="atLeast"/>
        <w:rPr>
          <w:rFonts w:eastAsia="Times New Roman" w:cstheme="minorHAnsi"/>
          <w:sz w:val="21"/>
          <w:szCs w:val="21"/>
        </w:rPr>
      </w:pPr>
      <w:r w:rsidRPr="005B66A9">
        <w:rPr>
          <w:rFonts w:eastAsia="Times New Roman" w:cstheme="minorHAnsi"/>
          <w:b/>
          <w:bCs/>
          <w:sz w:val="21"/>
          <w:szCs w:val="21"/>
        </w:rPr>
        <w:t>Social Security Act §1902(r)(2):</w:t>
      </w:r>
      <w:r w:rsidRPr="005B66A9">
        <w:rPr>
          <w:rFonts w:eastAsia="Times New Roman" w:cstheme="minorHAnsi"/>
          <w:sz w:val="21"/>
          <w:szCs w:val="21"/>
        </w:rPr>
        <w:t xml:space="preserve"> Permits states to use less restrictive methodologies for certain eligibility groups.</w:t>
      </w:r>
    </w:p>
    <w:p w14:paraId="737D41F8" w14:textId="77777777" w:rsidR="005B66A9" w:rsidRPr="005B66A9" w:rsidRDefault="005B66A9" w:rsidP="005B66A9">
      <w:pPr>
        <w:numPr>
          <w:ilvl w:val="0"/>
          <w:numId w:val="33"/>
        </w:numPr>
        <w:spacing w:before="100" w:beforeAutospacing="1" w:after="100" w:afterAutospacing="1" w:line="300" w:lineRule="atLeast"/>
        <w:rPr>
          <w:rFonts w:eastAsia="Times New Roman" w:cstheme="minorHAnsi"/>
          <w:sz w:val="21"/>
          <w:szCs w:val="21"/>
        </w:rPr>
      </w:pPr>
      <w:r w:rsidRPr="005B66A9">
        <w:rPr>
          <w:rFonts w:eastAsia="Times New Roman" w:cstheme="minorHAnsi"/>
          <w:b/>
          <w:bCs/>
          <w:sz w:val="21"/>
          <w:szCs w:val="21"/>
        </w:rPr>
        <w:t>CMS SMD #21</w:t>
      </w:r>
      <w:r w:rsidRPr="005B66A9">
        <w:rPr>
          <w:rFonts w:eastAsia="Times New Roman" w:cstheme="minorHAnsi"/>
          <w:b/>
          <w:bCs/>
          <w:sz w:val="21"/>
          <w:szCs w:val="21"/>
        </w:rPr>
        <w:noBreakHyphen/>
        <w:t>004:</w:t>
      </w:r>
      <w:r w:rsidRPr="005B66A9">
        <w:rPr>
          <w:rFonts w:eastAsia="Times New Roman" w:cstheme="minorHAnsi"/>
          <w:sz w:val="21"/>
          <w:szCs w:val="21"/>
        </w:rPr>
        <w:t xml:space="preserve"> Authorizes targeted disregards for HCBS populations.</w:t>
      </w:r>
    </w:p>
    <w:p w14:paraId="2758AE32" w14:textId="77777777" w:rsidR="005B66A9" w:rsidRDefault="005B66A9" w:rsidP="005B66A9">
      <w:pPr>
        <w:numPr>
          <w:ilvl w:val="0"/>
          <w:numId w:val="33"/>
        </w:numPr>
        <w:spacing w:before="100" w:beforeAutospacing="1" w:after="100" w:afterAutospacing="1" w:line="300" w:lineRule="atLeast"/>
        <w:rPr>
          <w:rFonts w:eastAsia="Times New Roman" w:cstheme="minorHAnsi"/>
          <w:sz w:val="21"/>
          <w:szCs w:val="21"/>
        </w:rPr>
      </w:pPr>
      <w:r w:rsidRPr="005B66A9">
        <w:rPr>
          <w:rFonts w:eastAsia="Times New Roman" w:cstheme="minorHAnsi"/>
          <w:b/>
          <w:bCs/>
          <w:sz w:val="21"/>
          <w:szCs w:val="21"/>
        </w:rPr>
        <w:t>42 CFR §435.601:</w:t>
      </w:r>
      <w:r w:rsidRPr="005B66A9">
        <w:rPr>
          <w:rFonts w:eastAsia="Times New Roman" w:cstheme="minorHAnsi"/>
          <w:sz w:val="21"/>
          <w:szCs w:val="21"/>
        </w:rPr>
        <w:t xml:space="preserve"> Governs application of financial methodologies.</w:t>
      </w:r>
    </w:p>
    <w:p w14:paraId="15131BF0" w14:textId="7E825EA4" w:rsidR="0099145B" w:rsidRPr="00491C62" w:rsidRDefault="0099145B" w:rsidP="005E75CC">
      <w:pPr>
        <w:numPr>
          <w:ilvl w:val="0"/>
          <w:numId w:val="33"/>
        </w:numPr>
        <w:spacing w:before="100" w:beforeAutospacing="1" w:after="100" w:afterAutospacing="1" w:line="0" w:lineRule="atLeast"/>
        <w:rPr>
          <w:rFonts w:eastAsia="Times New Roman" w:cstheme="minorHAnsi"/>
          <w:sz w:val="21"/>
          <w:szCs w:val="21"/>
        </w:rPr>
      </w:pPr>
      <w:r w:rsidRPr="00491C62">
        <w:rPr>
          <w:rFonts w:eastAsia="Times New Roman" w:cstheme="minorHAnsi"/>
          <w:sz w:val="21"/>
          <w:szCs w:val="21"/>
        </w:rPr>
        <w:t xml:space="preserve">It is </w:t>
      </w:r>
      <w:r w:rsidR="00491C62">
        <w:rPr>
          <w:rFonts w:eastAsia="Times New Roman" w:cstheme="minorHAnsi"/>
          <w:sz w:val="21"/>
          <w:szCs w:val="21"/>
        </w:rPr>
        <w:t xml:space="preserve">acknowledged that the necessary language specifying the </w:t>
      </w:r>
      <w:r w:rsidR="00C148BF">
        <w:rPr>
          <w:rFonts w:eastAsia="Times New Roman" w:cstheme="minorHAnsi"/>
          <w:sz w:val="21"/>
          <w:szCs w:val="21"/>
        </w:rPr>
        <w:t xml:space="preserve">asset disregard </w:t>
      </w:r>
      <w:r w:rsidR="00A11F08">
        <w:rPr>
          <w:rFonts w:eastAsia="Times New Roman" w:cstheme="minorHAnsi"/>
          <w:sz w:val="21"/>
          <w:szCs w:val="21"/>
        </w:rPr>
        <w:t>may</w:t>
      </w:r>
      <w:r w:rsidR="00C148BF">
        <w:rPr>
          <w:rFonts w:eastAsia="Times New Roman" w:cstheme="minorHAnsi"/>
          <w:sz w:val="21"/>
          <w:szCs w:val="21"/>
        </w:rPr>
        <w:t xml:space="preserve"> be accomplished within just the 1915(c) </w:t>
      </w:r>
      <w:r w:rsidR="00A11F08">
        <w:rPr>
          <w:rFonts w:eastAsia="Times New Roman" w:cstheme="minorHAnsi"/>
          <w:sz w:val="21"/>
          <w:szCs w:val="21"/>
        </w:rPr>
        <w:t xml:space="preserve">waiver application, and that no additional </w:t>
      </w:r>
      <w:r w:rsidR="001C6787">
        <w:rPr>
          <w:rFonts w:eastAsia="Times New Roman" w:cstheme="minorHAnsi"/>
          <w:sz w:val="21"/>
          <w:szCs w:val="21"/>
        </w:rPr>
        <w:t>SPA amendment is needed. This “belt and suspenders” approach</w:t>
      </w:r>
      <w:r w:rsidR="006A6D75">
        <w:rPr>
          <w:rFonts w:eastAsia="Times New Roman" w:cstheme="minorHAnsi"/>
          <w:sz w:val="21"/>
          <w:szCs w:val="21"/>
        </w:rPr>
        <w:t xml:space="preserve"> of including a SPA </w:t>
      </w:r>
      <w:r w:rsidR="00343F2B">
        <w:rPr>
          <w:rFonts w:eastAsia="Times New Roman" w:cstheme="minorHAnsi"/>
          <w:sz w:val="21"/>
          <w:szCs w:val="21"/>
        </w:rPr>
        <w:t>amendment</w:t>
      </w:r>
      <w:r w:rsidR="001C6787">
        <w:rPr>
          <w:rFonts w:eastAsia="Times New Roman" w:cstheme="minorHAnsi"/>
          <w:sz w:val="21"/>
          <w:szCs w:val="21"/>
        </w:rPr>
        <w:t xml:space="preserve"> is </w:t>
      </w:r>
      <w:r w:rsidR="00A14D2A">
        <w:rPr>
          <w:rFonts w:eastAsia="Times New Roman" w:cstheme="minorHAnsi"/>
          <w:sz w:val="21"/>
          <w:szCs w:val="21"/>
        </w:rPr>
        <w:t>offered</w:t>
      </w:r>
      <w:r w:rsidR="001C6787">
        <w:rPr>
          <w:rFonts w:eastAsia="Times New Roman" w:cstheme="minorHAnsi"/>
          <w:sz w:val="21"/>
          <w:szCs w:val="21"/>
        </w:rPr>
        <w:t xml:space="preserve"> to help underline the relative </w:t>
      </w:r>
      <w:r w:rsidR="00343F2B">
        <w:rPr>
          <w:rFonts w:eastAsia="Times New Roman" w:cstheme="minorHAnsi"/>
          <w:sz w:val="21"/>
          <w:szCs w:val="21"/>
        </w:rPr>
        <w:t xml:space="preserve">simplicity of </w:t>
      </w:r>
      <w:r w:rsidR="005E75CC">
        <w:rPr>
          <w:rFonts w:eastAsia="Times New Roman" w:cstheme="minorHAnsi"/>
          <w:sz w:val="21"/>
          <w:szCs w:val="21"/>
        </w:rPr>
        <w:t xml:space="preserve">the </w:t>
      </w:r>
      <w:r w:rsidR="00A14D2A">
        <w:rPr>
          <w:rFonts w:eastAsia="Times New Roman" w:cstheme="minorHAnsi"/>
          <w:sz w:val="21"/>
          <w:szCs w:val="21"/>
        </w:rPr>
        <w:t>related CMS transaction</w:t>
      </w:r>
      <w:r w:rsidR="005E75CC">
        <w:rPr>
          <w:rFonts w:eastAsia="Times New Roman" w:cstheme="minorHAnsi"/>
          <w:sz w:val="21"/>
          <w:szCs w:val="21"/>
        </w:rPr>
        <w:t>.</w:t>
      </w:r>
      <w:r w:rsidR="00A11F08">
        <w:rPr>
          <w:rFonts w:eastAsia="Times New Roman" w:cstheme="minorHAnsi"/>
          <w:sz w:val="21"/>
          <w:szCs w:val="21"/>
        </w:rPr>
        <w:t xml:space="preserve"> </w:t>
      </w:r>
    </w:p>
    <w:p w14:paraId="69D262EE" w14:textId="77777777" w:rsidR="00DA30B0" w:rsidRDefault="00DA30B0" w:rsidP="00855982"/>
    <w:p w14:paraId="1420F961" w14:textId="78AF0965" w:rsidR="00CB7A16" w:rsidRPr="00855982" w:rsidRDefault="007F09AE" w:rsidP="004C15ED">
      <w:pPr>
        <w:pStyle w:val="Heading2"/>
        <w:pBdr>
          <w:bottom w:val="single" w:sz="4" w:space="1" w:color="auto"/>
        </w:pBdr>
      </w:pPr>
      <w:r>
        <w:t>Leveraging 1915(c) Option for States to Adopt an Individual Cost Limit Inclusive of State Plan Service Costs</w:t>
      </w:r>
    </w:p>
    <w:p w14:paraId="32576286" w14:textId="1FB4D22B" w:rsidR="00CB7A16" w:rsidRDefault="00142BF4" w:rsidP="00D83968">
      <w:r>
        <w:t>The 1915(c)</w:t>
      </w:r>
      <w:r w:rsidR="000C58DD">
        <w:t xml:space="preserve"> waiver</w:t>
      </w:r>
      <w:r w:rsidR="00DA5331">
        <w:t xml:space="preserve"> is</w:t>
      </w:r>
      <w:r w:rsidR="000C58DD">
        <w:t xml:space="preserve"> a</w:t>
      </w:r>
      <w:r w:rsidR="00DA5331">
        <w:t xml:space="preserve"> </w:t>
      </w:r>
      <w:r w:rsidR="000C58DD">
        <w:t>powerful policy tool extended to state</w:t>
      </w:r>
      <w:r w:rsidR="008530A1">
        <w:t xml:space="preserve"> Medicaid programs that allows states to provide long-term services and supports to indivi</w:t>
      </w:r>
      <w:r w:rsidR="00D122E1">
        <w:t xml:space="preserve">duals outside of institutional settings. </w:t>
      </w:r>
      <w:r w:rsidR="00E3513C">
        <w:t xml:space="preserve">The 1915 (c) </w:t>
      </w:r>
      <w:r w:rsidR="00336412">
        <w:t xml:space="preserve">authority lets states “waive” certain Medicaid rules so they can offer services that help people remain in their homes or a “home-like” setting instead of being placed in an institutional setting. </w:t>
      </w:r>
      <w:r w:rsidR="005B129E">
        <w:t>1915(c) authority accords states a remarkable amount of discretion</w:t>
      </w:r>
      <w:r w:rsidR="005409BD">
        <w:t xml:space="preserve"> </w:t>
      </w:r>
      <w:r w:rsidR="00EE7147">
        <w:t>in support of</w:t>
      </w:r>
      <w:r w:rsidR="00A62250">
        <w:t xml:space="preserve"> designing impactful, cost-effective, and highly customized HCBS program and service offerings. CMS has done an excellent job publishing technical assistance to </w:t>
      </w:r>
      <w:r w:rsidR="00CB54FF">
        <w:t xml:space="preserve">support and accommodate each state’s </w:t>
      </w:r>
      <w:r w:rsidR="00EB0CD3">
        <w:t>policy preferences.</w:t>
      </w:r>
      <w:r w:rsidR="00295376">
        <w:t xml:space="preserve"> One such tool </w:t>
      </w:r>
      <w:r w:rsidR="002C6517">
        <w:t xml:space="preserve">not yet explored by Massachusetts but essential for this initiative is </w:t>
      </w:r>
      <w:r w:rsidR="00261514">
        <w:t>the adoption of an “Individual Cost Limit</w:t>
      </w:r>
      <w:r w:rsidR="00174C29">
        <w:t>” that applies to both</w:t>
      </w:r>
      <w:r w:rsidR="00703CCF">
        <w:t xml:space="preserve"> waiver services and other state plan services.</w:t>
      </w:r>
      <w:r w:rsidR="000C58DD">
        <w:t xml:space="preserve"> </w:t>
      </w:r>
      <w:r w:rsidR="000D7582">
        <w:t xml:space="preserve">For this ECOP </w:t>
      </w:r>
      <w:r w:rsidR="00E27C0C">
        <w:t>optimization</w:t>
      </w:r>
      <w:r w:rsidR="009D0BF2">
        <w:t xml:space="preserve"> initiative, the specific option </w:t>
      </w:r>
      <w:r w:rsidR="002A74CB">
        <w:t>is the “Cost Limit Lower Than Institutional Services”.</w:t>
      </w:r>
    </w:p>
    <w:p w14:paraId="40D2FE59" w14:textId="680EDAB3" w:rsidR="002A74CB" w:rsidRDefault="002A74CB" w:rsidP="00D83968">
      <w:r>
        <w:t xml:space="preserve">From </w:t>
      </w:r>
      <w:r w:rsidR="008D1CD4">
        <w:t>pg. 79 of CMS “Technical Guide for 1915(c) Waivers”:</w:t>
      </w:r>
    </w:p>
    <w:p w14:paraId="5FAE439F" w14:textId="77777777" w:rsidR="004F6757" w:rsidRPr="004F6757" w:rsidRDefault="004F6757" w:rsidP="001B0F92">
      <w:pPr>
        <w:ind w:left="708"/>
      </w:pPr>
      <w:r w:rsidRPr="004F6757">
        <w:rPr>
          <w:b/>
          <w:bCs/>
        </w:rPr>
        <w:t>Cost Limit Lower Than Institutional Services</w:t>
      </w:r>
      <w:r w:rsidRPr="004F6757">
        <w:t xml:space="preserve">. Finally, a state may elect to impose an individual cost limit that is lower than the cost of the institutional services for the level of care that the person requires. The selection of this limit generally is only appropriate in the case of waivers that target individuals who can be expected to have available services and supports from other sources (e.g., family caregivers or other public programs) that, in combination with waiver services, will be sufficient to assure their health and welfare pursuant to 42 CFR § 441.302(a). When a state elects this choice, it must specify the basis of the limit that it imposes (i.e., the information analyzed and the rationale to support the assertion that the limit selected ensures that individuals who enter the waiver will have sufficient services and supports to assure their health and welfare). This evidence may be based on: </w:t>
      </w:r>
    </w:p>
    <w:p w14:paraId="3B651AC8" w14:textId="77777777" w:rsidR="004F6757" w:rsidRPr="004F6757" w:rsidRDefault="004F6757" w:rsidP="001B0F92">
      <w:pPr>
        <w:ind w:left="708"/>
      </w:pPr>
      <w:r w:rsidRPr="004F6757">
        <w:t xml:space="preserve">o An analysis of service utilization in a waiver that serves a similar target group; </w:t>
      </w:r>
    </w:p>
    <w:p w14:paraId="30C13357" w14:textId="77777777" w:rsidR="004F6757" w:rsidRPr="004F6757" w:rsidRDefault="004F6757" w:rsidP="001B0F92">
      <w:pPr>
        <w:ind w:left="708"/>
      </w:pPr>
      <w:r w:rsidRPr="004F6757">
        <w:t xml:space="preserve">o An analysis of service utilization in a state program that serves a similar target group; </w:t>
      </w:r>
    </w:p>
    <w:p w14:paraId="7EDB4B6C" w14:textId="77777777" w:rsidR="004F6757" w:rsidRPr="004F6757" w:rsidRDefault="004F6757" w:rsidP="001B0F92">
      <w:pPr>
        <w:ind w:left="708"/>
      </w:pPr>
      <w:r w:rsidRPr="004F6757">
        <w:t xml:space="preserve">o The experience of a waiver that serves a similar target group in another state; and/ or </w:t>
      </w:r>
    </w:p>
    <w:p w14:paraId="3DE95EA1" w14:textId="77777777" w:rsidR="004F6757" w:rsidRPr="004F6757" w:rsidRDefault="004F6757" w:rsidP="001B0F92">
      <w:pPr>
        <w:ind w:left="708"/>
      </w:pPr>
      <w:r w:rsidRPr="004F6757">
        <w:t xml:space="preserve">o An assessment of the service needs of individuals in the target group. </w:t>
      </w:r>
    </w:p>
    <w:p w14:paraId="70594E85" w14:textId="77777777" w:rsidR="00FA19BC" w:rsidRDefault="00C301FA" w:rsidP="00D83968">
      <w:r>
        <w:t>To begin considering how to develop</w:t>
      </w:r>
      <w:r w:rsidR="00517C60">
        <w:t xml:space="preserve"> an appropriate cost limit consistent with the </w:t>
      </w:r>
      <w:r w:rsidR="00A87F27">
        <w:t xml:space="preserve">current </w:t>
      </w:r>
      <w:r w:rsidR="00174C87">
        <w:t>Massachusetts</w:t>
      </w:r>
      <w:r w:rsidR="00A87F27">
        <w:t xml:space="preserve"> ECOP program, </w:t>
      </w:r>
      <w:r w:rsidR="003229C7">
        <w:t xml:space="preserve">ASAPs </w:t>
      </w:r>
      <w:r w:rsidR="00737443">
        <w:t>currently receive a monthly</w:t>
      </w:r>
      <w:r w:rsidR="0076301B">
        <w:t xml:space="preserve"> “Direct Services” payment from AGE </w:t>
      </w:r>
      <w:r w:rsidR="002F3B4B">
        <w:t xml:space="preserve">which they utilize to purchase services on behalf of ECOP consumers. </w:t>
      </w:r>
      <w:r w:rsidR="00036D5F">
        <w:t>Each</w:t>
      </w:r>
      <w:r w:rsidR="0029496B">
        <w:t xml:space="preserve"> ASAP essentially manage</w:t>
      </w:r>
      <w:r w:rsidR="00036D5F">
        <w:t>s</w:t>
      </w:r>
      <w:r w:rsidR="0029496B">
        <w:t xml:space="preserve"> a </w:t>
      </w:r>
      <w:r w:rsidR="00A7620D">
        <w:t>de facto capitated payment</w:t>
      </w:r>
      <w:r w:rsidR="0029496B">
        <w:t xml:space="preserve"> </w:t>
      </w:r>
      <w:r w:rsidR="00036D5F">
        <w:t xml:space="preserve">across its local risk pool of </w:t>
      </w:r>
      <w:r w:rsidR="00BD65C0">
        <w:t xml:space="preserve">ECOP consumers. </w:t>
      </w:r>
      <w:r w:rsidR="00CB5AED">
        <w:t>The relevant monthly service rates are established</w:t>
      </w:r>
      <w:r w:rsidR="006A487E">
        <w:t xml:space="preserve"> and </w:t>
      </w:r>
      <w:r w:rsidR="00AE0C0F">
        <w:t>biennially</w:t>
      </w:r>
      <w:r w:rsidR="002365CA">
        <w:t xml:space="preserve"> revised</w:t>
      </w:r>
      <w:r w:rsidR="00CB5AED">
        <w:t xml:space="preserve"> </w:t>
      </w:r>
      <w:r w:rsidR="006A487E">
        <w:t>by 101 CMR 417.00</w:t>
      </w:r>
      <w:r w:rsidR="002365CA">
        <w:t xml:space="preserve">. </w:t>
      </w:r>
      <w:r w:rsidR="00036923">
        <w:t>The current</w:t>
      </w:r>
      <w:r w:rsidR="002057C1">
        <w:t xml:space="preserve"> </w:t>
      </w:r>
      <w:r w:rsidR="00DF75DD">
        <w:t>monthly</w:t>
      </w:r>
      <w:r w:rsidR="002057C1">
        <w:t xml:space="preserve"> capitated payment AGE issues to</w:t>
      </w:r>
      <w:r w:rsidR="00DF75DD">
        <w:t xml:space="preserve"> the ASAPs</w:t>
      </w:r>
      <w:r w:rsidR="00036923">
        <w:t xml:space="preserve"> is </w:t>
      </w:r>
      <w:r w:rsidR="005C52F2">
        <w:t xml:space="preserve">$1,025.12 per month; a </w:t>
      </w:r>
      <w:r w:rsidR="00944B32">
        <w:t>June</w:t>
      </w:r>
      <w:r w:rsidR="005C52F2">
        <w:t xml:space="preserve"> 2025 management report</w:t>
      </w:r>
      <w:r w:rsidR="001D62A8">
        <w:rPr>
          <w:rStyle w:val="FootnoteReference"/>
        </w:rPr>
        <w:footnoteReference w:id="2"/>
      </w:r>
      <w:r w:rsidR="005C52F2">
        <w:t xml:space="preserve"> indicate</w:t>
      </w:r>
      <w:r w:rsidR="00944B32">
        <w:t>d</w:t>
      </w:r>
      <w:r w:rsidR="005C52F2">
        <w:t xml:space="preserve"> that the</w:t>
      </w:r>
      <w:r w:rsidR="00A14FBD">
        <w:t xml:space="preserve"> ASAP network </w:t>
      </w:r>
      <w:r w:rsidR="00D37948">
        <w:t>was spending approximately</w:t>
      </w:r>
      <w:r w:rsidR="00F16867">
        <w:t xml:space="preserve"> $1,125.41 per month</w:t>
      </w:r>
      <w:r w:rsidR="00D37948">
        <w:t xml:space="preserve"> on direct care services.</w:t>
      </w:r>
      <w:r w:rsidR="005C52F2">
        <w:t xml:space="preserve"> </w:t>
      </w:r>
    </w:p>
    <w:p w14:paraId="14FAD3F6" w14:textId="13EAD380" w:rsidR="000C0954" w:rsidRDefault="00EC7B2F" w:rsidP="00D83968">
      <w:r>
        <w:t>Numerous factors result in the dynamic of</w:t>
      </w:r>
      <w:r w:rsidR="005619A9">
        <w:t xml:space="preserve"> </w:t>
      </w:r>
      <w:r w:rsidR="00710667">
        <w:t xml:space="preserve">services delivered being less than the amount of services authorized by a </w:t>
      </w:r>
      <w:r w:rsidR="001B5E30">
        <w:t>service plan</w:t>
      </w:r>
      <w:r w:rsidR="001B5E30" w:rsidRPr="001D5066">
        <w:rPr>
          <w:b/>
          <w:bCs/>
        </w:rPr>
        <w:t xml:space="preserve">. It is asserted that a service plan limit of </w:t>
      </w:r>
      <w:r w:rsidR="00821DAA" w:rsidRPr="001D5066">
        <w:rPr>
          <w:b/>
          <w:bCs/>
        </w:rPr>
        <w:t>$</w:t>
      </w:r>
      <w:r w:rsidR="00A66100" w:rsidRPr="001D5066">
        <w:rPr>
          <w:b/>
          <w:bCs/>
        </w:rPr>
        <w:t xml:space="preserve">1,240.00 will </w:t>
      </w:r>
      <w:r w:rsidR="001163B7" w:rsidRPr="001D5066">
        <w:rPr>
          <w:b/>
          <w:bCs/>
        </w:rPr>
        <w:t xml:space="preserve">support the ongoing </w:t>
      </w:r>
      <w:r w:rsidR="00DB470E" w:rsidRPr="001D5066">
        <w:rPr>
          <w:b/>
          <w:bCs/>
        </w:rPr>
        <w:t>per member per month spending of $1,125.41</w:t>
      </w:r>
      <w:r w:rsidR="001D5066">
        <w:t xml:space="preserve">. It is </w:t>
      </w:r>
      <w:r w:rsidR="003F30C3">
        <w:t>stressed</w:t>
      </w:r>
      <w:r w:rsidR="001D5066">
        <w:t xml:space="preserve"> that the development of a service plan limit should be extended to include </w:t>
      </w:r>
      <w:r w:rsidR="00901178">
        <w:t>both waiver services and state plan services.</w:t>
      </w:r>
    </w:p>
    <w:p w14:paraId="3149C7D1" w14:textId="5F80BDE8" w:rsidR="008D1CD4" w:rsidRDefault="000C0954" w:rsidP="00D83968">
      <w:r>
        <w:lastRenderedPageBreak/>
        <w:t xml:space="preserve">Assuming Massachusetts adopts this concept of a </w:t>
      </w:r>
      <w:r w:rsidR="00003CC2">
        <w:t xml:space="preserve">Limited Frail Elder Waiver, </w:t>
      </w:r>
      <w:r w:rsidR="0020482E">
        <w:t xml:space="preserve">it will be important for AGE/MassHealth to emphasize </w:t>
      </w:r>
      <w:r w:rsidR="003E4ADA">
        <w:t xml:space="preserve">that for this waiver there is a </w:t>
      </w:r>
      <w:r w:rsidR="0050088C">
        <w:t>definitive and enforced individual cost limit</w:t>
      </w:r>
      <w:r w:rsidR="001A0B4A">
        <w:t xml:space="preserve"> that is less than a nursing facility cost equivalent</w:t>
      </w:r>
      <w:r w:rsidR="00B97748">
        <w:t>.</w:t>
      </w:r>
      <w:r w:rsidR="005A6AD6">
        <w:t xml:space="preserve"> F</w:t>
      </w:r>
      <w:r w:rsidR="001A0B4A">
        <w:t>or consumers</w:t>
      </w:r>
      <w:r w:rsidR="005A6AD6">
        <w:t xml:space="preserve"> with service needs that cannot be adequately addressed by this waiver, </w:t>
      </w:r>
      <w:r w:rsidR="00420EBB">
        <w:t>the Frail Elder Waiver</w:t>
      </w:r>
      <w:r w:rsidR="00C56076">
        <w:t xml:space="preserve"> continues to be an option. The Frail Elder Waiver</w:t>
      </w:r>
      <w:r w:rsidR="00420EBB">
        <w:t xml:space="preserve"> </w:t>
      </w:r>
      <w:r w:rsidR="00A56D92">
        <w:t xml:space="preserve">does not utilize an individual </w:t>
      </w:r>
      <w:r w:rsidR="00A81311">
        <w:t xml:space="preserve">cost </w:t>
      </w:r>
      <w:r w:rsidR="0050088C">
        <w:t>limit</w:t>
      </w:r>
      <w:r w:rsidR="00F2151A">
        <w:t xml:space="preserve">. </w:t>
      </w:r>
      <w:r w:rsidR="00A803EB">
        <w:t xml:space="preserve">The trade off is that in order for the consumer to access the Frail Elder Waiver, they will have to meet </w:t>
      </w:r>
      <w:r w:rsidR="0050088C">
        <w:t>more</w:t>
      </w:r>
      <w:r w:rsidR="00BB7713">
        <w:t xml:space="preserve"> rigorous financial eligibility </w:t>
      </w:r>
      <w:r w:rsidR="003F30C3">
        <w:t>criteria.</w:t>
      </w:r>
      <w:r w:rsidR="00901178">
        <w:t xml:space="preserve"> </w:t>
      </w:r>
    </w:p>
    <w:p w14:paraId="099B4442" w14:textId="77777777" w:rsidR="00075F7E" w:rsidRDefault="00075F7E" w:rsidP="00075F7E">
      <w:pPr>
        <w:rPr>
          <w:rFonts w:eastAsia="Times New Roman" w:cstheme="minorHAnsi"/>
          <w:b/>
          <w:bCs/>
          <w:sz w:val="27"/>
          <w:szCs w:val="27"/>
        </w:rPr>
      </w:pPr>
    </w:p>
    <w:p w14:paraId="1DEE2C63" w14:textId="34DFD280" w:rsidR="00075F7E" w:rsidRPr="009552DF" w:rsidRDefault="00075F7E" w:rsidP="00075F7E">
      <w:pPr>
        <w:rPr>
          <w:rFonts w:cstheme="minorHAnsi"/>
          <w:b/>
          <w:bCs/>
        </w:rPr>
      </w:pPr>
      <w:r>
        <w:rPr>
          <w:rFonts w:eastAsia="Times New Roman" w:cstheme="minorHAnsi"/>
          <w:b/>
          <w:bCs/>
          <w:sz w:val="27"/>
          <w:szCs w:val="27"/>
        </w:rPr>
        <w:t xml:space="preserve">Suggested </w:t>
      </w:r>
      <w:r w:rsidRPr="005B66A9">
        <w:rPr>
          <w:rFonts w:eastAsia="Times New Roman" w:cstheme="minorHAnsi"/>
          <w:b/>
          <w:bCs/>
          <w:sz w:val="27"/>
          <w:szCs w:val="27"/>
        </w:rPr>
        <w:t>Implementation Steps</w:t>
      </w:r>
    </w:p>
    <w:p w14:paraId="4607E5E7" w14:textId="77777777" w:rsidR="00F174C5" w:rsidRDefault="00DC0023" w:rsidP="00075F7E">
      <w:pPr>
        <w:spacing w:before="100" w:beforeAutospacing="1" w:after="100" w:afterAutospacing="1" w:line="300" w:lineRule="atLeast"/>
        <w:rPr>
          <w:rFonts w:eastAsia="Times New Roman" w:cstheme="minorHAnsi"/>
          <w:b/>
          <w:bCs/>
          <w:sz w:val="21"/>
          <w:szCs w:val="21"/>
        </w:rPr>
      </w:pPr>
      <w:r>
        <w:rPr>
          <w:rFonts w:eastAsia="Times New Roman" w:cstheme="minorHAnsi"/>
          <w:b/>
          <w:bCs/>
          <w:sz w:val="21"/>
          <w:szCs w:val="21"/>
        </w:rPr>
        <w:t xml:space="preserve">Using the existing 1915(c) Frail Elder Waiver as template, </w:t>
      </w:r>
      <w:r w:rsidR="00902A37">
        <w:rPr>
          <w:rFonts w:eastAsia="Times New Roman" w:cstheme="minorHAnsi"/>
          <w:b/>
          <w:bCs/>
          <w:sz w:val="21"/>
          <w:szCs w:val="21"/>
        </w:rPr>
        <w:t xml:space="preserve">with the major difference </w:t>
      </w:r>
      <w:r w:rsidR="003E22AF">
        <w:rPr>
          <w:rFonts w:eastAsia="Times New Roman" w:cstheme="minorHAnsi"/>
          <w:b/>
          <w:bCs/>
          <w:sz w:val="21"/>
          <w:szCs w:val="21"/>
        </w:rPr>
        <w:t>of activating</w:t>
      </w:r>
      <w:r w:rsidR="00A76013">
        <w:rPr>
          <w:rFonts w:eastAsia="Times New Roman" w:cstheme="minorHAnsi"/>
          <w:b/>
          <w:bCs/>
          <w:sz w:val="21"/>
          <w:szCs w:val="21"/>
        </w:rPr>
        <w:t xml:space="preserve"> an</w:t>
      </w:r>
      <w:r w:rsidR="003E22AF">
        <w:rPr>
          <w:rFonts w:eastAsia="Times New Roman" w:cstheme="minorHAnsi"/>
          <w:b/>
          <w:bCs/>
          <w:sz w:val="21"/>
          <w:szCs w:val="21"/>
        </w:rPr>
        <w:t xml:space="preserve"> “Indi</w:t>
      </w:r>
      <w:r w:rsidR="00A76013">
        <w:rPr>
          <w:rFonts w:eastAsia="Times New Roman" w:cstheme="minorHAnsi"/>
          <w:b/>
          <w:bCs/>
          <w:sz w:val="21"/>
          <w:szCs w:val="21"/>
        </w:rPr>
        <w:t>vidual Cost Limit” in Appendix B-2</w:t>
      </w:r>
      <w:r w:rsidR="00A76013" w:rsidRPr="00603363">
        <w:rPr>
          <w:rFonts w:eastAsia="Times New Roman" w:cstheme="minorHAnsi"/>
          <w:sz w:val="21"/>
          <w:szCs w:val="21"/>
        </w:rPr>
        <w:t xml:space="preserve">. </w:t>
      </w:r>
      <w:r w:rsidR="00F16856" w:rsidRPr="00603363">
        <w:rPr>
          <w:rFonts w:eastAsia="Times New Roman" w:cstheme="minorHAnsi"/>
          <w:sz w:val="21"/>
          <w:szCs w:val="21"/>
        </w:rPr>
        <w:t xml:space="preserve">In contrast with the Frail Elder Waiver, change the pre-populated selection from “No Cost Limit” to </w:t>
      </w:r>
      <w:r w:rsidR="00521985" w:rsidRPr="00603363">
        <w:rPr>
          <w:rFonts w:eastAsia="Times New Roman" w:cstheme="minorHAnsi"/>
          <w:sz w:val="21"/>
          <w:szCs w:val="21"/>
        </w:rPr>
        <w:t xml:space="preserve">“Cost Limit Lower </w:t>
      </w:r>
      <w:r w:rsidR="00F605FB" w:rsidRPr="00603363">
        <w:rPr>
          <w:rFonts w:eastAsia="Times New Roman" w:cstheme="minorHAnsi"/>
          <w:sz w:val="21"/>
          <w:szCs w:val="21"/>
        </w:rPr>
        <w:t>Than Institutional Cost”</w:t>
      </w:r>
      <w:r w:rsidR="00B30E62">
        <w:rPr>
          <w:rFonts w:eastAsia="Times New Roman" w:cstheme="minorHAnsi"/>
          <w:b/>
          <w:bCs/>
          <w:sz w:val="21"/>
          <w:szCs w:val="21"/>
        </w:rPr>
        <w:t xml:space="preserve">. </w:t>
      </w:r>
    </w:p>
    <w:p w14:paraId="29A942F1" w14:textId="5DDE9F9E" w:rsidR="00332D0D" w:rsidRDefault="00603363" w:rsidP="00075F7E">
      <w:pPr>
        <w:spacing w:before="100" w:beforeAutospacing="1" w:after="100" w:afterAutospacing="1" w:line="300" w:lineRule="atLeast"/>
        <w:rPr>
          <w:rFonts w:eastAsia="Times New Roman" w:cstheme="minorHAnsi"/>
          <w:sz w:val="21"/>
          <w:szCs w:val="21"/>
        </w:rPr>
      </w:pPr>
      <w:r>
        <w:rPr>
          <w:rFonts w:eastAsia="Times New Roman" w:cstheme="minorHAnsi"/>
          <w:sz w:val="21"/>
          <w:szCs w:val="21"/>
        </w:rPr>
        <w:t xml:space="preserve">Furthermore, </w:t>
      </w:r>
      <w:r w:rsidR="00BE25FA">
        <w:rPr>
          <w:rFonts w:eastAsia="Times New Roman" w:cstheme="minorHAnsi"/>
          <w:sz w:val="21"/>
          <w:szCs w:val="21"/>
        </w:rPr>
        <w:t>for the required justification statement</w:t>
      </w:r>
      <w:r w:rsidR="002B5248">
        <w:rPr>
          <w:rFonts w:eastAsia="Times New Roman" w:cstheme="minorHAnsi"/>
          <w:sz w:val="21"/>
          <w:szCs w:val="21"/>
        </w:rPr>
        <w:t xml:space="preserve"> along</w:t>
      </w:r>
      <w:r w:rsidR="00A90639">
        <w:rPr>
          <w:rFonts w:eastAsia="Times New Roman" w:cstheme="minorHAnsi"/>
          <w:sz w:val="21"/>
          <w:szCs w:val="21"/>
        </w:rPr>
        <w:t xml:space="preserve"> a suggested draft is</w:t>
      </w:r>
      <w:r w:rsidR="00332D0D">
        <w:rPr>
          <w:rFonts w:eastAsia="Times New Roman" w:cstheme="minorHAnsi"/>
          <w:sz w:val="21"/>
          <w:szCs w:val="21"/>
        </w:rPr>
        <w:t>:</w:t>
      </w:r>
      <w:r w:rsidR="002B5248">
        <w:rPr>
          <w:rFonts w:eastAsia="Times New Roman" w:cstheme="minorHAnsi"/>
          <w:sz w:val="21"/>
          <w:szCs w:val="21"/>
        </w:rPr>
        <w:t xml:space="preserve"> </w:t>
      </w:r>
      <w:r w:rsidR="002B5248" w:rsidRPr="00332D0D">
        <w:rPr>
          <w:rFonts w:eastAsia="Times New Roman" w:cstheme="minorHAnsi"/>
          <w:i/>
          <w:iCs/>
          <w:sz w:val="21"/>
          <w:szCs w:val="21"/>
        </w:rPr>
        <w:t>“</w:t>
      </w:r>
      <w:r w:rsidR="00F60EBC" w:rsidRPr="00332D0D">
        <w:rPr>
          <w:rFonts w:eastAsia="Times New Roman" w:cstheme="minorHAnsi"/>
          <w:i/>
          <w:iCs/>
          <w:sz w:val="21"/>
          <w:szCs w:val="21"/>
        </w:rPr>
        <w:t xml:space="preserve">The basis of the </w:t>
      </w:r>
      <w:r w:rsidR="00A90639">
        <w:rPr>
          <w:rFonts w:eastAsia="Times New Roman" w:cstheme="minorHAnsi"/>
          <w:i/>
          <w:iCs/>
          <w:sz w:val="21"/>
          <w:szCs w:val="21"/>
        </w:rPr>
        <w:t xml:space="preserve">individual cost </w:t>
      </w:r>
      <w:r w:rsidR="00F60EBC" w:rsidRPr="00332D0D">
        <w:rPr>
          <w:rFonts w:eastAsia="Times New Roman" w:cstheme="minorHAnsi"/>
          <w:i/>
          <w:iCs/>
          <w:sz w:val="21"/>
          <w:szCs w:val="21"/>
        </w:rPr>
        <w:t xml:space="preserve">limit is informed by </w:t>
      </w:r>
      <w:r w:rsidR="002476CF" w:rsidRPr="00332D0D">
        <w:rPr>
          <w:rFonts w:eastAsia="Times New Roman" w:cstheme="minorHAnsi"/>
          <w:i/>
          <w:iCs/>
          <w:sz w:val="21"/>
          <w:szCs w:val="21"/>
        </w:rPr>
        <w:t xml:space="preserve">both the long-term experience of administering the Frail Elder Waiver in </w:t>
      </w:r>
      <w:r w:rsidR="00CB2454" w:rsidRPr="00332D0D">
        <w:rPr>
          <w:rFonts w:eastAsia="Times New Roman" w:cstheme="minorHAnsi"/>
          <w:i/>
          <w:iCs/>
          <w:sz w:val="21"/>
          <w:szCs w:val="21"/>
        </w:rPr>
        <w:t>combination with a non-</w:t>
      </w:r>
      <w:r w:rsidR="00332D0D" w:rsidRPr="00332D0D">
        <w:rPr>
          <w:rFonts w:eastAsia="Times New Roman" w:cstheme="minorHAnsi"/>
          <w:i/>
          <w:iCs/>
          <w:sz w:val="21"/>
          <w:szCs w:val="21"/>
        </w:rPr>
        <w:t>Medicaid</w:t>
      </w:r>
      <w:r w:rsidR="00CB2454" w:rsidRPr="00332D0D">
        <w:rPr>
          <w:rFonts w:eastAsia="Times New Roman" w:cstheme="minorHAnsi"/>
          <w:i/>
          <w:iCs/>
          <w:sz w:val="21"/>
          <w:szCs w:val="21"/>
        </w:rPr>
        <w:t xml:space="preserve"> </w:t>
      </w:r>
      <w:r w:rsidR="00A90639">
        <w:rPr>
          <w:rFonts w:eastAsia="Times New Roman" w:cstheme="minorHAnsi"/>
          <w:i/>
          <w:iCs/>
          <w:sz w:val="21"/>
          <w:szCs w:val="21"/>
        </w:rPr>
        <w:t xml:space="preserve">state </w:t>
      </w:r>
      <w:r w:rsidR="00CB2454" w:rsidRPr="00332D0D">
        <w:rPr>
          <w:rFonts w:eastAsia="Times New Roman" w:cstheme="minorHAnsi"/>
          <w:i/>
          <w:iCs/>
          <w:sz w:val="21"/>
          <w:szCs w:val="21"/>
        </w:rPr>
        <w:t>program</w:t>
      </w:r>
      <w:r w:rsidR="00611952" w:rsidRPr="00332D0D">
        <w:rPr>
          <w:rFonts w:eastAsia="Times New Roman" w:cstheme="minorHAnsi"/>
          <w:i/>
          <w:iCs/>
          <w:sz w:val="21"/>
          <w:szCs w:val="21"/>
        </w:rPr>
        <w:t xml:space="preserve"> offering enhanced care supports for low-income elders with qualifying care needs.</w:t>
      </w:r>
      <w:r w:rsidR="00EF6FF5" w:rsidRPr="00332D0D">
        <w:rPr>
          <w:rFonts w:eastAsia="Times New Roman" w:cstheme="minorHAnsi"/>
          <w:i/>
          <w:iCs/>
          <w:sz w:val="21"/>
          <w:szCs w:val="21"/>
        </w:rPr>
        <w:t xml:space="preserve"> This option is elected with understanding that the Frail Elder Waiver will continue to be </w:t>
      </w:r>
      <w:r w:rsidR="00CF743A" w:rsidRPr="00332D0D">
        <w:rPr>
          <w:rFonts w:eastAsia="Times New Roman" w:cstheme="minorHAnsi"/>
          <w:i/>
          <w:iCs/>
          <w:sz w:val="21"/>
          <w:szCs w:val="21"/>
        </w:rPr>
        <w:t xml:space="preserve">available to individuals who have service needs that exceed </w:t>
      </w:r>
      <w:r w:rsidR="00907CA3" w:rsidRPr="00332D0D">
        <w:rPr>
          <w:rFonts w:eastAsia="Times New Roman" w:cstheme="minorHAnsi"/>
          <w:i/>
          <w:iCs/>
          <w:sz w:val="21"/>
          <w:szCs w:val="21"/>
        </w:rPr>
        <w:t>the individuals cost limit established by this waiver.”</w:t>
      </w:r>
      <w:r w:rsidR="00907CA3">
        <w:rPr>
          <w:rFonts w:eastAsia="Times New Roman" w:cstheme="minorHAnsi"/>
          <w:sz w:val="21"/>
          <w:szCs w:val="21"/>
        </w:rPr>
        <w:t xml:space="preserve"> </w:t>
      </w:r>
    </w:p>
    <w:p w14:paraId="3B5C326B" w14:textId="59B0918E" w:rsidR="00D3126B" w:rsidRDefault="00907CA3" w:rsidP="00075F7E">
      <w:pPr>
        <w:spacing w:before="100" w:beforeAutospacing="1" w:after="100" w:afterAutospacing="1" w:line="300" w:lineRule="atLeast"/>
        <w:rPr>
          <w:rFonts w:eastAsia="Times New Roman" w:cstheme="minorHAnsi"/>
          <w:sz w:val="21"/>
          <w:szCs w:val="21"/>
        </w:rPr>
      </w:pPr>
      <w:r>
        <w:rPr>
          <w:rFonts w:eastAsia="Times New Roman" w:cstheme="minorHAnsi"/>
          <w:sz w:val="21"/>
          <w:szCs w:val="21"/>
        </w:rPr>
        <w:t xml:space="preserve">Furthermore, </w:t>
      </w:r>
      <w:r w:rsidR="001645CA">
        <w:rPr>
          <w:rFonts w:eastAsia="Times New Roman" w:cstheme="minorHAnsi"/>
          <w:sz w:val="21"/>
          <w:szCs w:val="21"/>
        </w:rPr>
        <w:t xml:space="preserve">to elect a dollar amount </w:t>
      </w:r>
      <w:r w:rsidR="0088032C">
        <w:rPr>
          <w:rFonts w:eastAsia="Times New Roman" w:cstheme="minorHAnsi"/>
          <w:sz w:val="21"/>
          <w:szCs w:val="21"/>
        </w:rPr>
        <w:t>of $1,240.00 for Waiver Year One</w:t>
      </w:r>
      <w:r w:rsidR="004D6DF4">
        <w:rPr>
          <w:rFonts w:eastAsia="Times New Roman" w:cstheme="minorHAnsi"/>
          <w:sz w:val="21"/>
          <w:szCs w:val="21"/>
        </w:rPr>
        <w:t>.</w:t>
      </w:r>
    </w:p>
    <w:p w14:paraId="7E36DFEC" w14:textId="636F774D" w:rsidR="00612F76" w:rsidRDefault="00D3126B" w:rsidP="00075F7E">
      <w:pPr>
        <w:spacing w:before="100" w:beforeAutospacing="1" w:after="100" w:afterAutospacing="1" w:line="300" w:lineRule="atLeast"/>
        <w:rPr>
          <w:rFonts w:eastAsia="Times New Roman" w:cstheme="minorHAnsi"/>
          <w:sz w:val="21"/>
          <w:szCs w:val="21"/>
        </w:rPr>
      </w:pPr>
      <w:r>
        <w:rPr>
          <w:rFonts w:eastAsia="Times New Roman" w:cstheme="minorHAnsi"/>
          <w:sz w:val="21"/>
          <w:szCs w:val="21"/>
        </w:rPr>
        <w:t>Furthermore, to elect</w:t>
      </w:r>
      <w:r w:rsidR="00D7530B">
        <w:rPr>
          <w:rFonts w:eastAsia="Times New Roman" w:cstheme="minorHAnsi"/>
          <w:sz w:val="21"/>
          <w:szCs w:val="21"/>
        </w:rPr>
        <w:t xml:space="preserve"> an “adjusted each year” option with specification </w:t>
      </w:r>
      <w:r>
        <w:rPr>
          <w:rFonts w:eastAsia="Times New Roman" w:cstheme="minorHAnsi"/>
          <w:sz w:val="21"/>
          <w:szCs w:val="21"/>
        </w:rPr>
        <w:t xml:space="preserve">that </w:t>
      </w:r>
      <w:r w:rsidR="00233278">
        <w:rPr>
          <w:rFonts w:eastAsia="Times New Roman" w:cstheme="minorHAnsi"/>
          <w:sz w:val="21"/>
          <w:szCs w:val="21"/>
        </w:rPr>
        <w:t>for the remaining outyears of the Waiver, a</w:t>
      </w:r>
      <w:r w:rsidR="00BA65D9">
        <w:rPr>
          <w:rFonts w:eastAsia="Times New Roman" w:cstheme="minorHAnsi"/>
          <w:sz w:val="21"/>
          <w:szCs w:val="21"/>
        </w:rPr>
        <w:t>n annual</w:t>
      </w:r>
      <w:r w:rsidR="004D6DF4">
        <w:rPr>
          <w:rFonts w:eastAsia="Times New Roman" w:cstheme="minorHAnsi"/>
          <w:sz w:val="21"/>
          <w:szCs w:val="21"/>
        </w:rPr>
        <w:t xml:space="preserve"> inflationary</w:t>
      </w:r>
      <w:r w:rsidR="0088032C">
        <w:rPr>
          <w:rFonts w:eastAsia="Times New Roman" w:cstheme="minorHAnsi"/>
          <w:sz w:val="21"/>
          <w:szCs w:val="21"/>
        </w:rPr>
        <w:t xml:space="preserve"> adjust</w:t>
      </w:r>
      <w:r w:rsidR="00233278">
        <w:rPr>
          <w:rFonts w:eastAsia="Times New Roman" w:cstheme="minorHAnsi"/>
          <w:sz w:val="21"/>
          <w:szCs w:val="21"/>
        </w:rPr>
        <w:t>ment</w:t>
      </w:r>
      <w:r w:rsidR="00BA65D9">
        <w:rPr>
          <w:rFonts w:eastAsia="Times New Roman" w:cstheme="minorHAnsi"/>
          <w:sz w:val="21"/>
          <w:szCs w:val="21"/>
        </w:rPr>
        <w:t xml:space="preserve"> will be applied to the Individual Cost Limit </w:t>
      </w:r>
      <w:r w:rsidR="00DF007D">
        <w:rPr>
          <w:rFonts w:eastAsia="Times New Roman" w:cstheme="minorHAnsi"/>
          <w:sz w:val="21"/>
          <w:szCs w:val="21"/>
        </w:rPr>
        <w:t xml:space="preserve"> in a manner consistent with the</w:t>
      </w:r>
      <w:r w:rsidR="00BA65D9">
        <w:rPr>
          <w:rFonts w:eastAsia="Times New Roman" w:cstheme="minorHAnsi"/>
          <w:sz w:val="21"/>
          <w:szCs w:val="21"/>
        </w:rPr>
        <w:t xml:space="preserve"> corresponding </w:t>
      </w:r>
      <w:r w:rsidR="00737BCD">
        <w:rPr>
          <w:rFonts w:eastAsia="Times New Roman" w:cstheme="minorHAnsi"/>
          <w:sz w:val="21"/>
          <w:szCs w:val="21"/>
        </w:rPr>
        <w:t xml:space="preserve">year-to-year </w:t>
      </w:r>
      <w:r w:rsidR="001C4F08">
        <w:rPr>
          <w:rFonts w:eastAsia="Times New Roman" w:cstheme="minorHAnsi"/>
          <w:sz w:val="21"/>
          <w:szCs w:val="21"/>
        </w:rPr>
        <w:t xml:space="preserve">change in the </w:t>
      </w:r>
      <w:r w:rsidR="001C4F08" w:rsidRPr="00612F76">
        <w:rPr>
          <w:rFonts w:eastAsia="Times New Roman" w:cstheme="minorHAnsi"/>
          <w:sz w:val="21"/>
          <w:szCs w:val="21"/>
        </w:rPr>
        <w:t>“Home Health Agency Market Basket” index posted by the United States Department of Health and Human Services, Centers for Medicare and Medicaid Services</w:t>
      </w:r>
      <w:r w:rsidR="004D6DF4">
        <w:rPr>
          <w:rFonts w:eastAsia="Times New Roman" w:cstheme="minorHAnsi"/>
          <w:sz w:val="21"/>
          <w:szCs w:val="21"/>
        </w:rPr>
        <w:t>.</w:t>
      </w:r>
    </w:p>
    <w:p w14:paraId="0BF0137D" w14:textId="74A2EA6C" w:rsidR="00CB7039" w:rsidRDefault="0045650B" w:rsidP="00075F7E">
      <w:pPr>
        <w:spacing w:before="100" w:beforeAutospacing="1" w:after="100" w:afterAutospacing="1" w:line="300" w:lineRule="atLeast"/>
        <w:rPr>
          <w:rFonts w:eastAsia="Times New Roman" w:cstheme="minorHAnsi"/>
          <w:sz w:val="21"/>
          <w:szCs w:val="21"/>
        </w:rPr>
      </w:pPr>
      <w:r>
        <w:rPr>
          <w:rFonts w:eastAsia="Times New Roman" w:cstheme="minorHAnsi"/>
          <w:b/>
          <w:bCs/>
          <w:sz w:val="21"/>
          <w:szCs w:val="21"/>
        </w:rPr>
        <w:t>Using the existing 1915(c) Frail Elder Waiver as template, with the major difference of activating a “</w:t>
      </w:r>
      <w:r w:rsidR="007379F4">
        <w:rPr>
          <w:rFonts w:eastAsia="Times New Roman" w:cstheme="minorHAnsi"/>
          <w:b/>
          <w:bCs/>
          <w:sz w:val="21"/>
          <w:szCs w:val="21"/>
        </w:rPr>
        <w:t>Limitation on the Number of Participants Served at Any Point in Time</w:t>
      </w:r>
      <w:r>
        <w:rPr>
          <w:rFonts w:eastAsia="Times New Roman" w:cstheme="minorHAnsi"/>
          <w:b/>
          <w:bCs/>
          <w:sz w:val="21"/>
          <w:szCs w:val="21"/>
        </w:rPr>
        <w:t>” in Appendix B-</w:t>
      </w:r>
      <w:r w:rsidR="00116663">
        <w:rPr>
          <w:rFonts w:eastAsia="Times New Roman" w:cstheme="minorHAnsi"/>
          <w:b/>
          <w:bCs/>
          <w:sz w:val="21"/>
          <w:szCs w:val="21"/>
        </w:rPr>
        <w:t>3(b)</w:t>
      </w:r>
      <w:r w:rsidRPr="00603363">
        <w:rPr>
          <w:rFonts w:eastAsia="Times New Roman" w:cstheme="minorHAnsi"/>
          <w:sz w:val="21"/>
          <w:szCs w:val="21"/>
        </w:rPr>
        <w:t xml:space="preserve">. </w:t>
      </w:r>
      <w:r w:rsidR="00013055" w:rsidRPr="00603363">
        <w:rPr>
          <w:rFonts w:eastAsia="Times New Roman" w:cstheme="minorHAnsi"/>
          <w:sz w:val="21"/>
          <w:szCs w:val="21"/>
        </w:rPr>
        <w:t xml:space="preserve">In contrast with the Frail Elder Waiver, </w:t>
      </w:r>
      <w:r w:rsidR="00013055">
        <w:rPr>
          <w:rFonts w:eastAsia="Times New Roman" w:cstheme="minorHAnsi"/>
          <w:sz w:val="21"/>
          <w:szCs w:val="21"/>
        </w:rPr>
        <w:t>this Limited Frail Elder Waiver should have an enforced</w:t>
      </w:r>
      <w:r w:rsidR="00076FB4">
        <w:rPr>
          <w:rFonts w:eastAsia="Times New Roman" w:cstheme="minorHAnsi"/>
          <w:sz w:val="21"/>
          <w:szCs w:val="21"/>
        </w:rPr>
        <w:t xml:space="preserve"> </w:t>
      </w:r>
      <w:r w:rsidR="00B024B8">
        <w:rPr>
          <w:rFonts w:eastAsia="Times New Roman" w:cstheme="minorHAnsi"/>
          <w:sz w:val="21"/>
          <w:szCs w:val="21"/>
        </w:rPr>
        <w:t xml:space="preserve">number of participants served at any point during a Waiver Year. </w:t>
      </w:r>
      <w:r w:rsidR="00807566">
        <w:rPr>
          <w:rFonts w:eastAsia="Times New Roman" w:cstheme="minorHAnsi"/>
          <w:sz w:val="21"/>
          <w:szCs w:val="21"/>
        </w:rPr>
        <w:t>Deference is given to AGE for setting an appropriate limit, but “Waiver Year One” should be established at a level</w:t>
      </w:r>
      <w:r w:rsidR="005C12E5">
        <w:rPr>
          <w:rFonts w:eastAsia="Times New Roman" w:cstheme="minorHAnsi"/>
          <w:sz w:val="21"/>
          <w:szCs w:val="21"/>
        </w:rPr>
        <w:t xml:space="preserve"> sufficient to facilitate the conversion of 90% of active ECOP consumers + 90% of </w:t>
      </w:r>
      <w:r w:rsidR="004E1F6D">
        <w:rPr>
          <w:rFonts w:eastAsia="Times New Roman" w:cstheme="minorHAnsi"/>
          <w:sz w:val="21"/>
          <w:szCs w:val="21"/>
        </w:rPr>
        <w:t>Basic consumers who are on the ECOP waitlist.</w:t>
      </w:r>
      <w:r w:rsidR="00F84A7E">
        <w:rPr>
          <w:rFonts w:eastAsia="Times New Roman" w:cstheme="minorHAnsi"/>
          <w:sz w:val="21"/>
          <w:szCs w:val="21"/>
        </w:rPr>
        <w:t xml:space="preserve"> If designing based on </w:t>
      </w:r>
      <w:r w:rsidR="003522F7">
        <w:rPr>
          <w:rFonts w:eastAsia="Times New Roman" w:cstheme="minorHAnsi"/>
          <w:sz w:val="21"/>
          <w:szCs w:val="21"/>
        </w:rPr>
        <w:t xml:space="preserve">September 2025 census, </w:t>
      </w:r>
      <w:r w:rsidR="00275802">
        <w:rPr>
          <w:rFonts w:eastAsia="Times New Roman" w:cstheme="minorHAnsi"/>
          <w:sz w:val="21"/>
          <w:szCs w:val="21"/>
        </w:rPr>
        <w:t xml:space="preserve">the </w:t>
      </w:r>
      <w:r w:rsidR="00970E4B">
        <w:rPr>
          <w:rFonts w:eastAsia="Times New Roman" w:cstheme="minorHAnsi"/>
          <w:sz w:val="21"/>
          <w:szCs w:val="21"/>
        </w:rPr>
        <w:t xml:space="preserve">appropriate limitation would be approximately </w:t>
      </w:r>
      <w:r w:rsidR="00673117">
        <w:rPr>
          <w:rFonts w:eastAsia="Times New Roman" w:cstheme="minorHAnsi"/>
          <w:sz w:val="21"/>
          <w:szCs w:val="21"/>
        </w:rPr>
        <w:t>6,230 participants.</w:t>
      </w:r>
    </w:p>
    <w:p w14:paraId="2814943E" w14:textId="51648C97" w:rsidR="008C7895" w:rsidRDefault="008C7895">
      <w:pPr>
        <w:rPr>
          <w:rFonts w:eastAsia="Times New Roman" w:cstheme="minorHAnsi"/>
          <w:sz w:val="21"/>
          <w:szCs w:val="21"/>
        </w:rPr>
      </w:pPr>
      <w:r>
        <w:rPr>
          <w:rFonts w:eastAsia="Times New Roman" w:cstheme="minorHAnsi"/>
          <w:sz w:val="21"/>
          <w:szCs w:val="21"/>
        </w:rPr>
        <w:br w:type="page"/>
      </w:r>
    </w:p>
    <w:p w14:paraId="3C41964C" w14:textId="5FD41AC5" w:rsidR="00CB7A16" w:rsidRPr="00855982" w:rsidRDefault="003E52B8" w:rsidP="005F3EA4">
      <w:pPr>
        <w:pStyle w:val="Heading2"/>
        <w:pBdr>
          <w:bottom w:val="single" w:sz="4" w:space="1" w:color="auto"/>
        </w:pBdr>
      </w:pPr>
      <w:r>
        <w:lastRenderedPageBreak/>
        <w:t>Addressing Anticipated Objections</w:t>
      </w:r>
    </w:p>
    <w:p w14:paraId="47F57144" w14:textId="3E953730" w:rsidR="008E2E31" w:rsidRDefault="008E2E31" w:rsidP="005F3EA4">
      <w:pPr>
        <w:pStyle w:val="Heading3"/>
      </w:pPr>
      <w:r w:rsidRPr="008E2E31">
        <w:t xml:space="preserve">Regarding </w:t>
      </w:r>
      <w:r>
        <w:t>Risk to DSHP Revenue</w:t>
      </w:r>
    </w:p>
    <w:p w14:paraId="281FC7D3" w14:textId="2B12EF25" w:rsidR="00D31705" w:rsidRDefault="008D0846" w:rsidP="008E2E31">
      <w:r>
        <w:t xml:space="preserve">This initiative estimates </w:t>
      </w:r>
      <w:r w:rsidR="00F6755D">
        <w:t xml:space="preserve">that the </w:t>
      </w:r>
      <w:r w:rsidR="00D54646">
        <w:t>current General Fund commitment to the ECOP</w:t>
      </w:r>
      <w:r w:rsidR="00814CA5">
        <w:t xml:space="preserve"> program</w:t>
      </w:r>
      <w:r w:rsidR="00D54646">
        <w:t xml:space="preserve"> can be maximized in a manner to generate</w:t>
      </w:r>
      <w:r w:rsidR="00FA5A07">
        <w:t xml:space="preserve"> at least</w:t>
      </w:r>
      <w:r w:rsidR="00D54646">
        <w:t xml:space="preserve"> </w:t>
      </w:r>
      <w:r w:rsidR="009D338D">
        <w:t>$53</w:t>
      </w:r>
      <w:r w:rsidR="00F56B96">
        <w:t>M</w:t>
      </w:r>
      <w:r w:rsidR="009D338D">
        <w:t xml:space="preserve"> per year in new Federal Financial Participation Revenue</w:t>
      </w:r>
      <w:r w:rsidR="009C66FC">
        <w:t>.</w:t>
      </w:r>
      <w:r w:rsidR="0053732C">
        <w:t xml:space="preserve"> </w:t>
      </w:r>
      <w:r w:rsidR="00865BC6">
        <w:t xml:space="preserve">It is anticipated that </w:t>
      </w:r>
      <w:r w:rsidR="00DB6954">
        <w:t>MassHealth financial analysts will be overly quick to claim that the existing 1115 Waiver Demonstration</w:t>
      </w:r>
      <w:r w:rsidR="00CC3705">
        <w:t xml:space="preserve">’s Designated State Health Plan (DSHP) is currently reliant on the </w:t>
      </w:r>
      <w:r w:rsidR="00670670">
        <w:t xml:space="preserve">State Home Care Program </w:t>
      </w:r>
      <w:r w:rsidR="00C56ECE">
        <w:t>to serve as a source of “in-kind” contributions</w:t>
      </w:r>
      <w:r w:rsidR="000B65DC">
        <w:t xml:space="preserve"> </w:t>
      </w:r>
      <w:r w:rsidR="005E0DAE">
        <w:t xml:space="preserve">that are generating </w:t>
      </w:r>
      <w:r w:rsidR="00806B99">
        <w:t xml:space="preserve">FFP revenue which, in turn, is </w:t>
      </w:r>
      <w:r w:rsidR="00A81A69">
        <w:t xml:space="preserve">serving as foundation to </w:t>
      </w:r>
      <w:r w:rsidR="00D31705">
        <w:t>the DSHP financing plan.</w:t>
      </w:r>
    </w:p>
    <w:p w14:paraId="22C44206" w14:textId="45941BAE" w:rsidR="00537EFD" w:rsidRDefault="00D31705" w:rsidP="008E2E31">
      <w:r w:rsidRPr="00CF6825">
        <w:rPr>
          <w:b/>
          <w:bCs/>
        </w:rPr>
        <w:t xml:space="preserve">It is stressed that the AGE State Home Care program will </w:t>
      </w:r>
      <w:r w:rsidR="00826414" w:rsidRPr="00CF6825">
        <w:rPr>
          <w:b/>
          <w:bCs/>
        </w:rPr>
        <w:t>be able to convert the ECOP program</w:t>
      </w:r>
      <w:r w:rsidR="00BE02DB" w:rsidRPr="00CF6825">
        <w:rPr>
          <w:b/>
          <w:bCs/>
        </w:rPr>
        <w:t xml:space="preserve"> to a 1915(c) “Limited Frail Elder Waiver” while also meeting its expected </w:t>
      </w:r>
      <w:r w:rsidR="00537EFD" w:rsidRPr="00CF6825">
        <w:rPr>
          <w:b/>
          <w:bCs/>
        </w:rPr>
        <w:t>in-kind contributions to the</w:t>
      </w:r>
      <w:r w:rsidR="00E12D00">
        <w:rPr>
          <w:b/>
          <w:bCs/>
        </w:rPr>
        <w:t xml:space="preserve"> active</w:t>
      </w:r>
      <w:r w:rsidR="00537EFD" w:rsidRPr="00CF6825">
        <w:rPr>
          <w:b/>
          <w:bCs/>
        </w:rPr>
        <w:t xml:space="preserve"> DSHP initiatives.</w:t>
      </w:r>
      <w:r w:rsidR="00BA3F3B">
        <w:t xml:space="preserve"> Figure 4 demonstrates the DSHP </w:t>
      </w:r>
      <w:r w:rsidR="00453B54">
        <w:t xml:space="preserve">financial plan, with detail on the </w:t>
      </w:r>
      <w:r w:rsidR="00BF6EDA">
        <w:t>“</w:t>
      </w:r>
      <w:r w:rsidR="00B91417">
        <w:t>non-federal share</w:t>
      </w:r>
      <w:r w:rsidR="00BF6EDA">
        <w:t xml:space="preserve">” match expected from the state home care program. </w:t>
      </w:r>
      <w:r w:rsidR="00DE4BDA">
        <w:t xml:space="preserve">In CY2026, the AGE state home care program is expected to </w:t>
      </w:r>
      <w:r w:rsidR="00227DAB">
        <w:t>contribute $63.4</w:t>
      </w:r>
      <w:r w:rsidR="00F56B96">
        <w:t>M</w:t>
      </w:r>
      <w:r w:rsidR="00B91417">
        <w:t xml:space="preserve">; </w:t>
      </w:r>
      <w:r w:rsidR="00230C01">
        <w:t xml:space="preserve">and CY2027 the expected match is </w:t>
      </w:r>
      <w:r w:rsidR="00785BDF">
        <w:t>$31.7</w:t>
      </w:r>
      <w:r w:rsidR="00F56B96">
        <w:t>M</w:t>
      </w:r>
      <w:r w:rsidR="00785BDF">
        <w:t xml:space="preserve">. For both of these years, the state home care program can </w:t>
      </w:r>
      <w:r w:rsidR="007429F5">
        <w:t xml:space="preserve">easily </w:t>
      </w:r>
      <w:r w:rsidR="00A57235">
        <w:t>meet the contribution expectation</w:t>
      </w:r>
      <w:r w:rsidR="00BA59B2">
        <w:t xml:space="preserve"> from</w:t>
      </w:r>
      <w:r w:rsidR="00BF0855">
        <w:t xml:space="preserve"> just</w:t>
      </w:r>
      <w:r w:rsidR="00BA59B2">
        <w:t xml:space="preserve"> the Home Care Basic Program and not involve ECOP operations</w:t>
      </w:r>
      <w:r w:rsidR="000F22C8">
        <w:rPr>
          <w:rStyle w:val="FootnoteReference"/>
        </w:rPr>
        <w:footnoteReference w:id="3"/>
      </w:r>
      <w:r w:rsidR="00BA59B2">
        <w:t xml:space="preserve">. </w:t>
      </w:r>
    </w:p>
    <w:p w14:paraId="2C725E56" w14:textId="64BDC3AE" w:rsidR="0053732C" w:rsidRPr="006B4734" w:rsidRDefault="00CB7039" w:rsidP="00CB7039">
      <w:pPr>
        <w:spacing w:after="0"/>
        <w:jc w:val="center"/>
        <w:rPr>
          <w:sz w:val="16"/>
          <w:szCs w:val="16"/>
          <w:u w:val="single"/>
        </w:rPr>
      </w:pPr>
      <w:r w:rsidRPr="0072312A">
        <w:rPr>
          <w:u w:val="single"/>
        </w:rPr>
        <w:t xml:space="preserve">Figure </w:t>
      </w:r>
      <w:r>
        <w:rPr>
          <w:u w:val="single"/>
        </w:rPr>
        <w:t>4</w:t>
      </w:r>
    </w:p>
    <w:p w14:paraId="63DFF899" w14:textId="7CC60DBF" w:rsidR="00865BC6" w:rsidRPr="008D0846" w:rsidRDefault="006C4028" w:rsidP="001151C2">
      <w:pPr>
        <w:jc w:val="center"/>
      </w:pPr>
      <w:r w:rsidRPr="006C4028">
        <w:rPr>
          <w:noProof/>
          <w:lang w:eastAsia="en-US"/>
        </w:rPr>
        <w:drawing>
          <wp:inline distT="0" distB="0" distL="0" distR="0" wp14:anchorId="550A4FAC" wp14:editId="605C7313">
            <wp:extent cx="5260207" cy="4595874"/>
            <wp:effectExtent l="0" t="0" r="0" b="0"/>
            <wp:docPr id="28702302" name="Picture 1" descr="An image summarizing the financial operation of a special MassHealth program. The program is the &quot;Designated State Health Program&quot;, also known as &quot;DSHP&quot;. In Calendar Year 2026, the State Home Care program is expected to contribute sixty-three million dollars in state matching fund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702302" name="Picture 1" descr="An image summarizing the financial operation of a special MassHealth program. The program is the &quot;Designated State Health Program&quot;, also known as &quot;DSHP&quot;. In Calendar Year 2026, the State Home Care program is expected to contribute sixty-three million dollars in state matching funds."/>
                    <pic:cNvPicPr/>
                  </pic:nvPicPr>
                  <pic:blipFill>
                    <a:blip r:embed="rId11"/>
                    <a:stretch>
                      <a:fillRect/>
                    </a:stretch>
                  </pic:blipFill>
                  <pic:spPr>
                    <a:xfrm>
                      <a:off x="0" y="0"/>
                      <a:ext cx="5269019" cy="4603573"/>
                    </a:xfrm>
                    <a:prstGeom prst="rect">
                      <a:avLst/>
                    </a:prstGeom>
                  </pic:spPr>
                </pic:pic>
              </a:graphicData>
            </a:graphic>
          </wp:inline>
        </w:drawing>
      </w:r>
    </w:p>
    <w:p w14:paraId="441479DE" w14:textId="77777777" w:rsidR="001151C2" w:rsidRDefault="001151C2" w:rsidP="001151C2">
      <w:pPr>
        <w:rPr>
          <w:b/>
          <w:bCs/>
        </w:rPr>
      </w:pPr>
    </w:p>
    <w:p w14:paraId="64749163" w14:textId="55233E28" w:rsidR="001151C2" w:rsidRPr="008E2E31" w:rsidRDefault="001151C2" w:rsidP="005F3EA4">
      <w:pPr>
        <w:pStyle w:val="Heading3"/>
      </w:pPr>
      <w:r w:rsidRPr="008E2E31">
        <w:lastRenderedPageBreak/>
        <w:t>Regarding Woodwork Effect</w:t>
      </w:r>
    </w:p>
    <w:p w14:paraId="61349EC7" w14:textId="44B057C9" w:rsidR="00A43087" w:rsidRDefault="001151C2" w:rsidP="003E52B8">
      <w:r>
        <w:t xml:space="preserve">It is stressed that this initiative is developed from the perspective of first understanding the existing General Fund commitments of the AGE State Home Care program, the </w:t>
      </w:r>
      <w:r w:rsidR="006357F3">
        <w:t xml:space="preserve">low-income </w:t>
      </w:r>
      <w:r>
        <w:t>consumers</w:t>
      </w:r>
      <w:r w:rsidR="006357F3">
        <w:t xml:space="preserve"> who are </w:t>
      </w:r>
      <w:r w:rsidR="00457224">
        <w:t>certified NF-LOC and</w:t>
      </w:r>
      <w:r>
        <w:t xml:space="preserve"> actively benefiting from the program, and the consumers</w:t>
      </w:r>
      <w:r w:rsidR="00457224">
        <w:t xml:space="preserve"> who are likely NF-LOC</w:t>
      </w:r>
      <w:r>
        <w:t xml:space="preserve"> currently being waitlisted for the program. The resulting program design of a “Limited Frail Elder Waiver” is carefully considered to target serving these individuals while also installing sufficient guardrails that protect against the common MassHealth scarecrow otherwise known as “woodwork effect”. The combination of an individual cost limit and a monthly limitation of the number of unduplicated participants expressly mitigates/eliminates traditional “woodwork effect” concerns</w:t>
      </w:r>
      <w:r w:rsidR="00163BB7">
        <w:t xml:space="preserve"> that MassHealth </w:t>
      </w:r>
      <w:r w:rsidR="00A32A61">
        <w:t>tends to</w:t>
      </w:r>
      <w:r w:rsidR="00163BB7">
        <w:t xml:space="preserve"> raise</w:t>
      </w:r>
      <w:r>
        <w:t>.</w:t>
      </w:r>
    </w:p>
    <w:p w14:paraId="3B083627" w14:textId="5443A554" w:rsidR="00A43087" w:rsidRPr="00855982" w:rsidRDefault="00F02AE1" w:rsidP="005F3EA4">
      <w:pPr>
        <w:pStyle w:val="Heading2"/>
        <w:pBdr>
          <w:bottom w:val="single" w:sz="4" w:space="1" w:color="auto"/>
        </w:pBdr>
      </w:pPr>
      <w:r>
        <w:t>Implementation Consideration</w:t>
      </w:r>
      <w:r w:rsidR="00C578A3">
        <w:t>s</w:t>
      </w:r>
    </w:p>
    <w:p w14:paraId="727D0FB0" w14:textId="3920E2E1" w:rsidR="00AF35A3" w:rsidRPr="00AF35A3" w:rsidRDefault="00AF35A3" w:rsidP="005F3EA4">
      <w:pPr>
        <w:pStyle w:val="Heading3"/>
      </w:pPr>
      <w:r w:rsidRPr="00AF35A3">
        <w:t>Stabilizing ASAP Risk Pool</w:t>
      </w:r>
    </w:p>
    <w:p w14:paraId="451252DB" w14:textId="5FD7BD11" w:rsidR="00A43087" w:rsidRDefault="000D534A" w:rsidP="00A43087">
      <w:r>
        <w:t xml:space="preserve">This process of </w:t>
      </w:r>
      <w:r w:rsidR="00136B48">
        <w:t xml:space="preserve">converting the ECOP program to a 1915(c) Waiver Program will result in the </w:t>
      </w:r>
      <w:r w:rsidR="00F63B7E">
        <w:t xml:space="preserve">AGE </w:t>
      </w:r>
      <w:r w:rsidR="00136B48">
        <w:t xml:space="preserve">method </w:t>
      </w:r>
      <w:r w:rsidR="00F63B7E">
        <w:t xml:space="preserve">for compensating ASAPs </w:t>
      </w:r>
      <w:r w:rsidR="005C53F0">
        <w:t>chang</w:t>
      </w:r>
      <w:r w:rsidR="00F55205">
        <w:t>ing</w:t>
      </w:r>
      <w:r w:rsidR="005C53F0">
        <w:t xml:space="preserve"> from a de facto </w:t>
      </w:r>
      <w:r w:rsidR="00C40146">
        <w:t xml:space="preserve">monthly capitation payment to a </w:t>
      </w:r>
      <w:r w:rsidR="00B75010">
        <w:t>cost-reimbursement method</w:t>
      </w:r>
      <w:r w:rsidR="009B3D21">
        <w:t xml:space="preserve">. Implementing the change is not complicated, as it mirrors the manner by which </w:t>
      </w:r>
      <w:r w:rsidR="00EF43D3">
        <w:t>AGE reimburses</w:t>
      </w:r>
      <w:r w:rsidR="007A1E67">
        <w:t xml:space="preserve"> ASAPs</w:t>
      </w:r>
      <w:r w:rsidR="00107459">
        <w:t xml:space="preserve"> for the operation of the</w:t>
      </w:r>
      <w:r w:rsidR="00D212A7">
        <w:t xml:space="preserve"> long-standing</w:t>
      </w:r>
      <w:r w:rsidR="00107459">
        <w:t xml:space="preserve"> Frail Elder Waiver program</w:t>
      </w:r>
      <w:r w:rsidR="00D212A7">
        <w:t xml:space="preserve">. However </w:t>
      </w:r>
      <w:r w:rsidR="00363CC3">
        <w:t xml:space="preserve">there needs to be mindful awareness of the important elder care </w:t>
      </w:r>
      <w:r w:rsidR="00220D0E">
        <w:t xml:space="preserve">service delivery system that has become </w:t>
      </w:r>
      <w:r w:rsidR="007F763C">
        <w:t xml:space="preserve">dependent on </w:t>
      </w:r>
      <w:r w:rsidR="00D35B0E">
        <w:t xml:space="preserve">surplus funds </w:t>
      </w:r>
      <w:r w:rsidR="0072657A">
        <w:t>that flow from ECOP capitation payments.</w:t>
      </w:r>
    </w:p>
    <w:p w14:paraId="3CA4E2DB" w14:textId="7096DE97" w:rsidR="00F95E6C" w:rsidRDefault="0002171A" w:rsidP="00A43087">
      <w:r>
        <w:t xml:space="preserve">This proposal </w:t>
      </w:r>
      <w:r w:rsidR="00E3408D">
        <w:t>estimates that</w:t>
      </w:r>
      <w:r w:rsidR="00A524E7">
        <w:t>, as a result of this initiative,</w:t>
      </w:r>
      <w:r w:rsidR="00E3408D">
        <w:t xml:space="preserve"> net program costs</w:t>
      </w:r>
      <w:r w:rsidR="00A524E7">
        <w:t xml:space="preserve"> to the General Fund</w:t>
      </w:r>
      <w:r w:rsidR="00E3408D">
        <w:t xml:space="preserve"> will be reduced by at least $38</w:t>
      </w:r>
      <w:r w:rsidR="00860866">
        <w:t>M</w:t>
      </w:r>
      <w:r w:rsidR="00E3408D">
        <w:t xml:space="preserve"> per year</w:t>
      </w:r>
      <w:r w:rsidR="00A524E7">
        <w:t xml:space="preserve">. It is asserted that </w:t>
      </w:r>
      <w:r w:rsidR="0065507D">
        <w:t>for the purpose of promoting stability</w:t>
      </w:r>
      <w:r w:rsidR="00606FD5">
        <w:t xml:space="preserve"> </w:t>
      </w:r>
      <w:r w:rsidR="000F6FB2">
        <w:t>to elder care services</w:t>
      </w:r>
      <w:r w:rsidR="0088787E">
        <w:t xml:space="preserve"> being routinely delivered by the ASAP network, that </w:t>
      </w:r>
      <w:r w:rsidR="00860866">
        <w:t>no less than $2.0M</w:t>
      </w:r>
      <w:r w:rsidR="00EB4881">
        <w:rPr>
          <w:rStyle w:val="FootnoteReference"/>
        </w:rPr>
        <w:footnoteReference w:id="4"/>
      </w:r>
      <w:r w:rsidR="00860866">
        <w:t xml:space="preserve"> of the </w:t>
      </w:r>
      <w:r w:rsidR="008B5AB1">
        <w:t>cost savings should be re-</w:t>
      </w:r>
      <w:r w:rsidR="00ED3314">
        <w:t>in</w:t>
      </w:r>
      <w:r w:rsidR="008B5AB1">
        <w:t>vested into the home care program</w:t>
      </w:r>
      <w:r w:rsidR="00630736">
        <w:t>.</w:t>
      </w:r>
      <w:r w:rsidR="00CE7AA9">
        <w:t xml:space="preserve"> This re-investment initiative should be</w:t>
      </w:r>
      <w:r w:rsidR="008B5AB1">
        <w:t xml:space="preserve"> in the form of </w:t>
      </w:r>
      <w:r w:rsidR="00CB7F91">
        <w:t>a</w:t>
      </w:r>
      <w:r w:rsidR="009D4D35">
        <w:t xml:space="preserve"> broad-purpose</w:t>
      </w:r>
      <w:r w:rsidR="00CB7F91">
        <w:t xml:space="preserve"> </w:t>
      </w:r>
      <w:r w:rsidR="00FD1051">
        <w:t>formula grant</w:t>
      </w:r>
      <w:r w:rsidR="009D4D35">
        <w:t xml:space="preserve"> that </w:t>
      </w:r>
      <w:r w:rsidR="00902AFB">
        <w:t>compensates</w:t>
      </w:r>
      <w:r w:rsidR="009D4D35">
        <w:t xml:space="preserve"> </w:t>
      </w:r>
      <w:r w:rsidR="00992C4F">
        <w:t>ASAPs for</w:t>
      </w:r>
      <w:r w:rsidR="00902AFB">
        <w:t xml:space="preserve"> </w:t>
      </w:r>
      <w:r w:rsidR="009C20F2">
        <w:t xml:space="preserve">demonstrated </w:t>
      </w:r>
      <w:r w:rsidR="00902AFB">
        <w:t xml:space="preserve">non-reimbursed costs incurred in the course of providing </w:t>
      </w:r>
      <w:r w:rsidR="00AF3C84">
        <w:t xml:space="preserve">local services consistent with the mission of the </w:t>
      </w:r>
      <w:r w:rsidR="00F95E6C">
        <w:t>AGE State Home Care Program.</w:t>
      </w:r>
    </w:p>
    <w:p w14:paraId="1F56883E" w14:textId="77777777" w:rsidR="00C578A3" w:rsidRDefault="00F95E6C" w:rsidP="00A43087">
      <w:r>
        <w:t xml:space="preserve">Deference is given to ASAPs to further craft </w:t>
      </w:r>
      <w:r w:rsidR="00696E44">
        <w:t>a</w:t>
      </w:r>
      <w:r w:rsidR="004F7B73">
        <w:t>n initiative t</w:t>
      </w:r>
      <w:r w:rsidR="00696E44">
        <w:t xml:space="preserve">hat helps to bridge and mitigate </w:t>
      </w:r>
      <w:r w:rsidR="00EB4881">
        <w:t>transition challenges.</w:t>
      </w:r>
      <w:r w:rsidR="00992C4F">
        <w:t xml:space="preserve"> </w:t>
      </w:r>
    </w:p>
    <w:p w14:paraId="0421B6AF" w14:textId="77777777" w:rsidR="00FB7050" w:rsidRDefault="00FB7050" w:rsidP="00C578A3">
      <w:pPr>
        <w:rPr>
          <w:b/>
          <w:bCs/>
        </w:rPr>
      </w:pPr>
    </w:p>
    <w:p w14:paraId="55B57BF4" w14:textId="0F185DDF" w:rsidR="00C578A3" w:rsidRDefault="00FB7050" w:rsidP="005F3EA4">
      <w:pPr>
        <w:pStyle w:val="Heading3"/>
      </w:pPr>
      <w:r>
        <w:t>Appropriate Case Management Compensation</w:t>
      </w:r>
    </w:p>
    <w:p w14:paraId="44F74C7B" w14:textId="3433C3B2" w:rsidR="00BF16B8" w:rsidRDefault="00FB7050" w:rsidP="00A43087">
      <w:r>
        <w:t>Th</w:t>
      </w:r>
      <w:r w:rsidR="00743FE7">
        <w:t xml:space="preserve">is proposal was developed with a strict lens on how to best convert the existing operations of the </w:t>
      </w:r>
      <w:r w:rsidR="009C7098">
        <w:t xml:space="preserve">ECOP program </w:t>
      </w:r>
      <w:r w:rsidR="006420BE">
        <w:t>in</w:t>
      </w:r>
      <w:r w:rsidR="00DA1430">
        <w:t xml:space="preserve">to </w:t>
      </w:r>
      <w:r w:rsidR="006420BE">
        <w:t xml:space="preserve">bona fide </w:t>
      </w:r>
      <w:r w:rsidR="002903C7">
        <w:t xml:space="preserve">Medicaid-reimbursable </w:t>
      </w:r>
      <w:r w:rsidR="00B05AD9">
        <w:t>health care costs. This was done so with reference to the ECOP rates</w:t>
      </w:r>
      <w:r w:rsidR="00723905">
        <w:t xml:space="preserve"> in effect</w:t>
      </w:r>
      <w:r w:rsidR="00D00B87">
        <w:t xml:space="preserve"> for September 2025</w:t>
      </w:r>
      <w:r w:rsidR="00723905">
        <w:t xml:space="preserve"> for AGE reimbursing ASAPs for monthly case management</w:t>
      </w:r>
      <w:r w:rsidR="004110A1">
        <w:t>,</w:t>
      </w:r>
      <w:r w:rsidR="00F2524B">
        <w:t xml:space="preserve"> $346.01. </w:t>
      </w:r>
      <w:r w:rsidR="00EA4EBF">
        <w:t>With a final adoption publication date of 3/</w:t>
      </w:r>
      <w:r w:rsidR="002375F4">
        <w:t xml:space="preserve">27/26, </w:t>
      </w:r>
      <w:r w:rsidR="001F5A79">
        <w:t>this rate experienced a</w:t>
      </w:r>
      <w:r w:rsidR="00AF0E76">
        <w:t xml:space="preserve">n </w:t>
      </w:r>
      <w:r w:rsidR="001F5A79">
        <w:t xml:space="preserve">adjustment </w:t>
      </w:r>
      <w:r w:rsidR="00257C61">
        <w:t xml:space="preserve">to $373.83 retroactive a </w:t>
      </w:r>
      <w:r w:rsidR="009749A6">
        <w:t xml:space="preserve">to 1/1/26. This presentation does not </w:t>
      </w:r>
      <w:r w:rsidR="00820896">
        <w:t xml:space="preserve">attempt to model for the rate adjustment, as it is assumed if AGE/EOHHS pursues this initiative it will do so with </w:t>
      </w:r>
      <w:r w:rsidR="00340338">
        <w:t xml:space="preserve">a more comprehensive financial modelling effort. </w:t>
      </w:r>
      <w:r w:rsidR="00B40A74">
        <w:t xml:space="preserve">However it is </w:t>
      </w:r>
      <w:r w:rsidR="00340338">
        <w:t>noted that</w:t>
      </w:r>
      <w:r w:rsidR="00B40A74">
        <w:t>,</w:t>
      </w:r>
      <w:r w:rsidR="00340338">
        <w:t xml:space="preserve"> </w:t>
      </w:r>
      <w:r w:rsidR="00842A66">
        <w:t xml:space="preserve">because AGE has already committed to the </w:t>
      </w:r>
      <w:r w:rsidR="00A23D19">
        <w:t>case management rate adjustment,</w:t>
      </w:r>
      <w:r w:rsidR="000D1B8B">
        <w:t xml:space="preserve"> after factoring for the costs of the 1/1/26 rate adjustment</w:t>
      </w:r>
      <w:r w:rsidR="006978C9">
        <w:t xml:space="preserve"> the financial proposition to this initiative will only be further strengthened</w:t>
      </w:r>
      <w:r w:rsidR="00BF16B8">
        <w:t>.</w:t>
      </w:r>
    </w:p>
    <w:p w14:paraId="791B1194" w14:textId="77777777" w:rsidR="009F24C7" w:rsidRDefault="00960D55" w:rsidP="00A43087">
      <w:r>
        <w:t>A</w:t>
      </w:r>
      <w:r w:rsidR="001C2CC8">
        <w:t>n issue</w:t>
      </w:r>
      <w:r>
        <w:t xml:space="preserve"> is</w:t>
      </w:r>
      <w:r w:rsidR="001C2CC8">
        <w:t xml:space="preserve"> raised</w:t>
      </w:r>
      <w:r>
        <w:t xml:space="preserve"> that the existing Frail Elder Waiver case management rate is </w:t>
      </w:r>
      <w:r w:rsidR="00902AD6">
        <w:t>$43</w:t>
      </w:r>
      <w:r w:rsidR="001C2CC8">
        <w:t xml:space="preserve">5.04. If this initiative is adopted, there is a compelling public policy argument that the “Limited Frail Elder Waiver” rate should be the </w:t>
      </w:r>
      <w:r w:rsidR="00D14A6F">
        <w:t>referenced unit rate rather than the ECOP</w:t>
      </w:r>
      <w:r w:rsidR="00591689">
        <w:t xml:space="preserve"> case management rate of $3</w:t>
      </w:r>
      <w:r w:rsidR="00221925">
        <w:t>73.8</w:t>
      </w:r>
      <w:r w:rsidR="008D6D9E">
        <w:t>3.</w:t>
      </w:r>
      <w:r w:rsidR="00783366">
        <w:t xml:space="preserve"> This argument is strengthened when considering ASAP</w:t>
      </w:r>
      <w:r w:rsidR="00655789">
        <w:t xml:space="preserve"> Case Management operations will have the important duty of monitoring and enforcing an individual cost </w:t>
      </w:r>
      <w:r w:rsidR="00A82D04">
        <w:t xml:space="preserve">limit which will entail factoring for both waiver services and state plan services. </w:t>
      </w:r>
      <w:r w:rsidR="00EE3731">
        <w:t>While</w:t>
      </w:r>
      <w:r w:rsidR="00C81450">
        <w:t xml:space="preserve"> the</w:t>
      </w:r>
      <w:r w:rsidR="004E26DC">
        <w:t xml:space="preserve"> current</w:t>
      </w:r>
      <w:r w:rsidR="00EE3731">
        <w:t xml:space="preserve"> ASAP case management</w:t>
      </w:r>
      <w:r w:rsidR="00C81450">
        <w:t xml:space="preserve"> practice </w:t>
      </w:r>
      <w:r w:rsidR="00C81450">
        <w:lastRenderedPageBreak/>
        <w:t>expectation</w:t>
      </w:r>
      <w:r w:rsidR="00EE3731">
        <w:t xml:space="preserve"> is</w:t>
      </w:r>
      <w:r w:rsidR="00C81450">
        <w:t xml:space="preserve"> </w:t>
      </w:r>
      <w:r w:rsidR="004E26DC">
        <w:t xml:space="preserve">to </w:t>
      </w:r>
      <w:r w:rsidR="00C81450">
        <w:t xml:space="preserve">currently document </w:t>
      </w:r>
      <w:r w:rsidR="00D21630">
        <w:t>the presence</w:t>
      </w:r>
      <w:r w:rsidR="00C81450">
        <w:t xml:space="preserve"> of</w:t>
      </w:r>
      <w:r w:rsidR="00D21630">
        <w:t xml:space="preserve"> </w:t>
      </w:r>
      <w:r w:rsidR="00C81450">
        <w:t xml:space="preserve">MassHealth state plan services that are being leveraged in the service plan, this initiative will </w:t>
      </w:r>
      <w:r w:rsidR="00E3279D">
        <w:t>require increase</w:t>
      </w:r>
      <w:r w:rsidR="006F2068">
        <w:t>d</w:t>
      </w:r>
      <w:r w:rsidR="00E3279D">
        <w:t xml:space="preserve"> scrutiny</w:t>
      </w:r>
      <w:r w:rsidR="006F2068">
        <w:t xml:space="preserve"> to ensure adherence to the individual cost limit.</w:t>
      </w:r>
      <w:r w:rsidR="009F24C7">
        <w:t xml:space="preserve"> </w:t>
      </w:r>
    </w:p>
    <w:p w14:paraId="370BE874" w14:textId="6C1BE78B" w:rsidR="00B40A74" w:rsidRDefault="009F24C7" w:rsidP="00A43087">
      <w:r>
        <w:t>Deference i</w:t>
      </w:r>
      <w:r w:rsidR="00B759F9">
        <w:t xml:space="preserve">s </w:t>
      </w:r>
      <w:r>
        <w:t xml:space="preserve">given to ASAPs to </w:t>
      </w:r>
      <w:r w:rsidR="00D428E9">
        <w:t xml:space="preserve">argue case management cost considerations. It is noted that within the terms of this proposal, </w:t>
      </w:r>
      <w:r w:rsidR="00CC1C33">
        <w:t>the</w:t>
      </w:r>
      <w:r w:rsidR="00CC1A16">
        <w:t xml:space="preserve"> gross</w:t>
      </w:r>
      <w:r w:rsidR="00CC1C33">
        <w:t xml:space="preserve"> cost of equalizing ECOP case management payments to </w:t>
      </w:r>
      <w:r w:rsidR="00073BB5">
        <w:t>Frail Elder Waiver payments</w:t>
      </w:r>
      <w:r w:rsidR="00CC1A16">
        <w:t xml:space="preserve"> </w:t>
      </w:r>
      <w:r w:rsidR="00F82038">
        <w:t xml:space="preserve">is </w:t>
      </w:r>
      <w:r w:rsidR="00DF3B44">
        <w:t>estimated to be $38</w:t>
      </w:r>
      <w:r w:rsidR="00217D68">
        <w:t>5</w:t>
      </w:r>
      <w:r w:rsidR="00511547">
        <w:t>K</w:t>
      </w:r>
      <w:r w:rsidR="00DF3B44">
        <w:t>; the net cost</w:t>
      </w:r>
      <w:r w:rsidR="00FD41CB">
        <w:t xml:space="preserve"> </w:t>
      </w:r>
      <w:r w:rsidR="00B759F9">
        <w:t>is estimated</w:t>
      </w:r>
      <w:r w:rsidR="00217D68">
        <w:t xml:space="preserve"> at $200</w:t>
      </w:r>
      <w:r w:rsidR="00A32A61">
        <w:t>K</w:t>
      </w:r>
      <w:r w:rsidR="00217D68">
        <w:t>.</w:t>
      </w:r>
      <w:r w:rsidR="00073BB5">
        <w:t xml:space="preserve"> </w:t>
      </w:r>
      <w:r w:rsidR="00E3279D">
        <w:t xml:space="preserve"> </w:t>
      </w:r>
    </w:p>
    <w:p w14:paraId="367D64AF" w14:textId="06B76701" w:rsidR="0072657A" w:rsidRPr="00855982" w:rsidRDefault="0028080F" w:rsidP="00A43087">
      <w:r>
        <w:t xml:space="preserve"> </w:t>
      </w:r>
      <w:r w:rsidR="001F5A79">
        <w:t xml:space="preserve"> </w:t>
      </w:r>
    </w:p>
    <w:p w14:paraId="7BECEE4B" w14:textId="09A289FC" w:rsidR="00CB7A16" w:rsidRPr="00855982" w:rsidRDefault="009B1F1C" w:rsidP="005F3EA4">
      <w:pPr>
        <w:pStyle w:val="Heading2"/>
        <w:pBdr>
          <w:bottom w:val="single" w:sz="4" w:space="1" w:color="auto"/>
        </w:pBdr>
      </w:pPr>
      <w:r>
        <w:t>Closing</w:t>
      </w:r>
    </w:p>
    <w:p w14:paraId="65DD44A3" w14:textId="4E2978A3" w:rsidR="00CB7A16" w:rsidRPr="00855982" w:rsidRDefault="00D57EBE" w:rsidP="003E52B8">
      <w:r>
        <w:t xml:space="preserve">Thank you for your consideration of this important initiative. </w:t>
      </w:r>
      <w:r w:rsidR="00F57FED">
        <w:t xml:space="preserve">Please contact Peter Tiernan at </w:t>
      </w:r>
      <w:hyperlink r:id="rId12" w:history="1">
        <w:r w:rsidR="00F57FED" w:rsidRPr="00DB090F">
          <w:rPr>
            <w:rStyle w:val="Hyperlink"/>
          </w:rPr>
          <w:t>ptiernan@hcbssolutions.com</w:t>
        </w:r>
      </w:hyperlink>
      <w:r w:rsidR="00F57FED">
        <w:t xml:space="preserve"> with any questions or comments regarding this proposal.</w:t>
      </w:r>
    </w:p>
    <w:p w14:paraId="59E12B4D" w14:textId="77777777" w:rsidR="00CB7A16" w:rsidRDefault="00CB7A16" w:rsidP="00855982"/>
    <w:p w14:paraId="12DAA45C" w14:textId="6AB7B4FC" w:rsidR="00CB7A16" w:rsidRPr="00855982" w:rsidRDefault="009B1F1C" w:rsidP="005F3EA4">
      <w:pPr>
        <w:pStyle w:val="Heading2"/>
        <w:pBdr>
          <w:bottom w:val="single" w:sz="4" w:space="1" w:color="auto"/>
        </w:pBdr>
      </w:pPr>
      <w:r>
        <w:t>Sources Consul</w:t>
      </w:r>
      <w:bookmarkStart w:id="1" w:name="_GoBack"/>
      <w:bookmarkEnd w:id="1"/>
      <w:r>
        <w:t>ted</w:t>
      </w:r>
    </w:p>
    <w:p w14:paraId="2CDC0427" w14:textId="018DA225" w:rsidR="00A47239" w:rsidRDefault="007A1C0F" w:rsidP="00A47239">
      <w:r w:rsidRPr="007A1C0F">
        <w:t>Centers for Medicare &amp; Medicaid Services. (2021, December 7).</w:t>
      </w:r>
      <w:r w:rsidR="00E450AE">
        <w:t xml:space="preserve"> </w:t>
      </w:r>
      <w:r w:rsidR="00E450AE" w:rsidRPr="00A47239">
        <w:rPr>
          <w:i/>
          <w:iCs/>
        </w:rPr>
        <w:t>State flexibilities to determine financial eligibility for individuals in need of home and community-based services (SMD #21-004)</w:t>
      </w:r>
      <w:r w:rsidR="00E450AE" w:rsidRPr="00E450AE">
        <w:t>.</w:t>
      </w:r>
      <w:r w:rsidR="005964CC">
        <w:t xml:space="preserve"> </w:t>
      </w:r>
      <w:r w:rsidR="005964CC" w:rsidRPr="005964CC">
        <w:t>U.S. Department of Health and Human Services.</w:t>
      </w:r>
      <w:r w:rsidR="00A47239">
        <w:t xml:space="preserve"> </w:t>
      </w:r>
      <w:hyperlink r:id="rId13" w:history="1">
        <w:r w:rsidR="00A47239" w:rsidRPr="00DB090F">
          <w:rPr>
            <w:rStyle w:val="Hyperlink"/>
          </w:rPr>
          <w:t>https://www.medicaid.gov/Federal-Policy-Guidance/Downloads/smd21004.pdf</w:t>
        </w:r>
      </w:hyperlink>
    </w:p>
    <w:p w14:paraId="6398C281" w14:textId="77777777" w:rsidR="00A47239" w:rsidRDefault="00A47239" w:rsidP="001830F7"/>
    <w:p w14:paraId="633C294B" w14:textId="5D460E20" w:rsidR="007A43CE" w:rsidRDefault="001830F7" w:rsidP="001830F7">
      <w:r w:rsidRPr="001830F7">
        <w:t xml:space="preserve">Centers for Medicare &amp; Medicaid Services. (2024, July). </w:t>
      </w:r>
      <w:r w:rsidRPr="001830F7">
        <w:rPr>
          <w:i/>
          <w:iCs/>
        </w:rPr>
        <w:t>Instructions, technical guide, and review criteria for § 1915(c) home and community</w:t>
      </w:r>
      <w:r w:rsidRPr="001830F7">
        <w:rPr>
          <w:i/>
          <w:iCs/>
        </w:rPr>
        <w:noBreakHyphen/>
        <w:t>based services waivers (Version 3.7).</w:t>
      </w:r>
      <w:r w:rsidRPr="001830F7">
        <w:t xml:space="preserve"> U.S. Department of Health and Human Services.</w:t>
      </w:r>
      <w:r w:rsidR="00DC3F8A">
        <w:t xml:space="preserve"> </w:t>
      </w:r>
      <w:hyperlink r:id="rId14" w:history="1">
        <w:r w:rsidR="00DC3F8A" w:rsidRPr="00DB090F">
          <w:rPr>
            <w:rStyle w:val="Hyperlink"/>
          </w:rPr>
          <w:t>https://www.medicaid.gov/resources-for-states/spa-and-1915-waiver-processing/1915-waiver-processing-tools-for-states</w:t>
        </w:r>
      </w:hyperlink>
    </w:p>
    <w:p w14:paraId="61123307" w14:textId="77777777" w:rsidR="00313C71" w:rsidRDefault="00313C71" w:rsidP="001830F7"/>
    <w:p w14:paraId="6CE25982" w14:textId="537C428E" w:rsidR="00E44530" w:rsidRDefault="00E44530" w:rsidP="001830F7">
      <w:r w:rsidRPr="00944B32">
        <w:t>Executive Office of Aging and Independence ("AGE") Public Records Request Response to Peter Tiernan. (2025, September 11). Document reference PRR 2025.8.20 – Tiernan – Monthly Service Tabular</w:t>
      </w:r>
    </w:p>
    <w:p w14:paraId="3342DA04" w14:textId="77777777" w:rsidR="00313C71" w:rsidRDefault="00313C71" w:rsidP="001830F7"/>
    <w:p w14:paraId="2D2E8EEC" w14:textId="77777777" w:rsidR="00313C71" w:rsidRPr="001830F7" w:rsidRDefault="00313C71" w:rsidP="001830F7"/>
    <w:p w14:paraId="1DB7E047" w14:textId="77777777" w:rsidR="000C11A1" w:rsidRPr="00855982" w:rsidRDefault="000C11A1" w:rsidP="00855982"/>
    <w:sectPr w:rsidR="000C11A1" w:rsidRPr="00855982" w:rsidSect="00743427">
      <w:footerReference w:type="default" r:id="rId15"/>
      <w:pgSz w:w="12240" w:h="15840"/>
      <w:pgMar w:top="720" w:right="720" w:bottom="720" w:left="720" w:header="720" w:footer="720" w:gutter="0"/>
      <w:cols w:space="720"/>
      <w:titlePg/>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F116BDB" w14:textId="77777777" w:rsidR="0015772F" w:rsidRDefault="0015772F" w:rsidP="00855982">
      <w:pPr>
        <w:spacing w:after="0" w:line="240" w:lineRule="auto"/>
      </w:pPr>
      <w:r>
        <w:separator/>
      </w:r>
    </w:p>
  </w:endnote>
  <w:endnote w:type="continuationSeparator" w:id="0">
    <w:p w14:paraId="2D3BFDB1" w14:textId="77777777" w:rsidR="0015772F" w:rsidRDefault="0015772F" w:rsidP="008559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7759961"/>
      <w:docPartObj>
        <w:docPartGallery w:val="Page Numbers (Bottom of Page)"/>
        <w:docPartUnique/>
      </w:docPartObj>
    </w:sdtPr>
    <w:sdtEndPr>
      <w:rPr>
        <w:noProof/>
      </w:rPr>
    </w:sdtEndPr>
    <w:sdtContent>
      <w:p w14:paraId="7057783E" w14:textId="5FFE5F68" w:rsidR="00855982" w:rsidRDefault="00855982">
        <w:pPr>
          <w:pStyle w:val="Footer"/>
        </w:pPr>
        <w:r>
          <w:fldChar w:fldCharType="begin"/>
        </w:r>
        <w:r>
          <w:instrText xml:space="preserve"> PAGE   \* MERGEFORMAT </w:instrText>
        </w:r>
        <w:r>
          <w:fldChar w:fldCharType="separate"/>
        </w:r>
        <w:r w:rsidR="005F3EA4">
          <w:rPr>
            <w:noProof/>
          </w:rPr>
          <w:t>11</w:t>
        </w:r>
        <w:r>
          <w:rPr>
            <w:noProof/>
          </w:rP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5B918E1" w14:textId="77777777" w:rsidR="0015772F" w:rsidRDefault="0015772F" w:rsidP="00855982">
      <w:pPr>
        <w:spacing w:after="0" w:line="240" w:lineRule="auto"/>
      </w:pPr>
      <w:r>
        <w:separator/>
      </w:r>
    </w:p>
  </w:footnote>
  <w:footnote w:type="continuationSeparator" w:id="0">
    <w:p w14:paraId="0FDF189E" w14:textId="77777777" w:rsidR="0015772F" w:rsidRDefault="0015772F" w:rsidP="00855982">
      <w:pPr>
        <w:spacing w:after="0" w:line="240" w:lineRule="auto"/>
      </w:pPr>
      <w:r>
        <w:continuationSeparator/>
      </w:r>
    </w:p>
  </w:footnote>
  <w:footnote w:id="1">
    <w:p w14:paraId="15C76CFC" w14:textId="2B95873C" w:rsidR="00982B46" w:rsidRDefault="00982B46">
      <w:pPr>
        <w:pStyle w:val="FootnoteText"/>
      </w:pPr>
      <w:r>
        <w:rPr>
          <w:rStyle w:val="FootnoteReference"/>
        </w:rPr>
        <w:footnoteRef/>
      </w:r>
      <w:r>
        <w:t xml:space="preserve"> </w:t>
      </w:r>
      <w:r w:rsidR="003B2A32">
        <w:t xml:space="preserve">The model asset limit of $130,000, in this instance limited to </w:t>
      </w:r>
      <w:r w:rsidR="005268EA">
        <w:t>only participants in the proposed new 1915(c) “Limited Frail Elder</w:t>
      </w:r>
      <w:r w:rsidR="00E77A98">
        <w:t xml:space="preserve"> Waiver” program, is </w:t>
      </w:r>
      <w:r w:rsidR="001A409D">
        <w:t xml:space="preserve">adopted in reference to </w:t>
      </w:r>
      <w:r w:rsidR="0041228F">
        <w:t xml:space="preserve">California where </w:t>
      </w:r>
      <w:r w:rsidR="00865CC4">
        <w:t>access to Medi-Cal long-term care services currently</w:t>
      </w:r>
      <w:r w:rsidR="00AA4BDE">
        <w:t xml:space="preserve"> has </w:t>
      </w:r>
      <w:r w:rsidR="002A37ED">
        <w:t>an asset limit eligibility criterion o</w:t>
      </w:r>
      <w:r w:rsidR="00812888">
        <w:t>f $130,000. It is stressed that</w:t>
      </w:r>
      <w:r w:rsidR="00FF36F7">
        <w:t xml:space="preserve"> unlike California, </w:t>
      </w:r>
      <w:r w:rsidR="00812888">
        <w:t>this Massachusetts proposition</w:t>
      </w:r>
      <w:r w:rsidR="004D7642">
        <w:t xml:space="preserve"> leverages 1915(c) governance tools to</w:t>
      </w:r>
      <w:r w:rsidR="00812888">
        <w:t xml:space="preserve"> </w:t>
      </w:r>
      <w:r w:rsidR="001C20BE">
        <w:t xml:space="preserve">surgically </w:t>
      </w:r>
      <w:r w:rsidR="00B204C1">
        <w:t>absorb</w:t>
      </w:r>
      <w:r w:rsidR="001741A4">
        <w:t xml:space="preserve"> traditional AGE ECOP program participants</w:t>
      </w:r>
      <w:r w:rsidR="004C1B1B">
        <w:t xml:space="preserve">, and to cap the program only for </w:t>
      </w:r>
      <w:r w:rsidR="00084147">
        <w:t>serving the traditional ECOP program demand.</w:t>
      </w:r>
      <w:r w:rsidR="001F3645">
        <w:t xml:space="preserve"> </w:t>
      </w:r>
      <w:r w:rsidR="002A37ED">
        <w:t xml:space="preserve"> </w:t>
      </w:r>
    </w:p>
    <w:p w14:paraId="6946C8E3" w14:textId="77777777" w:rsidR="0030500F" w:rsidRDefault="0030500F">
      <w:pPr>
        <w:pStyle w:val="FootnoteText"/>
      </w:pPr>
    </w:p>
  </w:footnote>
  <w:footnote w:id="2">
    <w:p w14:paraId="4568A33E" w14:textId="49F87024" w:rsidR="001D62A8" w:rsidRDefault="001D62A8">
      <w:pPr>
        <w:pStyle w:val="FootnoteText"/>
      </w:pPr>
      <w:r>
        <w:rPr>
          <w:rStyle w:val="FootnoteReference"/>
        </w:rPr>
        <w:footnoteRef/>
      </w:r>
      <w:r>
        <w:t xml:space="preserve"> </w:t>
      </w:r>
      <w:r w:rsidR="002D31D4">
        <w:t xml:space="preserve">With emphasis that further detail is provided in the accompanying excel workbook, </w:t>
      </w:r>
      <w:r w:rsidR="00944B32" w:rsidRPr="00944B32">
        <w:t>data related to the service month of June 2025</w:t>
      </w:r>
      <w:r w:rsidR="00077A6C">
        <w:t xml:space="preserve"> </w:t>
      </w:r>
      <w:r w:rsidR="00944B32" w:rsidRPr="00944B32">
        <w:t>was sourced from Executive Office of Aging and Independence ("AGE") Public Records Request Response to Peter Tiernan. (2025, September 11). Document reference PRR 2025.8.20 – Tiernan – Monthly Service Tabular</w:t>
      </w:r>
    </w:p>
  </w:footnote>
  <w:footnote w:id="3">
    <w:p w14:paraId="18CE6E5E" w14:textId="177B2792" w:rsidR="000F22C8" w:rsidRPr="0053732C" w:rsidRDefault="000F22C8">
      <w:pPr>
        <w:pStyle w:val="FootnoteText"/>
        <w:rPr>
          <w:sz w:val="20"/>
        </w:rPr>
      </w:pPr>
      <w:r w:rsidRPr="0053732C">
        <w:rPr>
          <w:rStyle w:val="FootnoteReference"/>
          <w:sz w:val="20"/>
        </w:rPr>
        <w:footnoteRef/>
      </w:r>
      <w:r w:rsidRPr="0053732C">
        <w:rPr>
          <w:sz w:val="20"/>
        </w:rPr>
        <w:t xml:space="preserve"> In June 2025, the</w:t>
      </w:r>
      <w:r w:rsidR="00724D33" w:rsidRPr="0053732C">
        <w:rPr>
          <w:sz w:val="20"/>
        </w:rPr>
        <w:t xml:space="preserve"> non-ECOP related</w:t>
      </w:r>
      <w:r w:rsidRPr="0053732C">
        <w:rPr>
          <w:sz w:val="20"/>
        </w:rPr>
        <w:t xml:space="preserve"> sub-programs of “Basic</w:t>
      </w:r>
      <w:r w:rsidR="001B4F7B" w:rsidRPr="0053732C">
        <w:rPr>
          <w:sz w:val="20"/>
        </w:rPr>
        <w:t xml:space="preserve">: Non-Waiver” and </w:t>
      </w:r>
      <w:r w:rsidR="00F3676F" w:rsidRPr="0053732C">
        <w:rPr>
          <w:sz w:val="20"/>
        </w:rPr>
        <w:t>“Basic: Percent Based”</w:t>
      </w:r>
      <w:r w:rsidR="00724D33" w:rsidRPr="0053732C">
        <w:rPr>
          <w:sz w:val="20"/>
        </w:rPr>
        <w:t xml:space="preserve"> realized 32,491 </w:t>
      </w:r>
      <w:r w:rsidR="000063E3" w:rsidRPr="0053732C">
        <w:rPr>
          <w:sz w:val="20"/>
        </w:rPr>
        <w:t>active consumers. Annualiz</w:t>
      </w:r>
      <w:r w:rsidR="00ED544E">
        <w:rPr>
          <w:sz w:val="20"/>
        </w:rPr>
        <w:t>ing</w:t>
      </w:r>
      <w:r w:rsidR="000063E3" w:rsidRPr="0053732C">
        <w:rPr>
          <w:sz w:val="20"/>
        </w:rPr>
        <w:t xml:space="preserve"> just the related service payments from AGE to the ASAP network </w:t>
      </w:r>
      <w:r w:rsidR="009541E2" w:rsidRPr="0053732C">
        <w:rPr>
          <w:sz w:val="20"/>
        </w:rPr>
        <w:t>suggests an annual General Fund cost commitment of</w:t>
      </w:r>
      <w:r w:rsidR="00EE13C9" w:rsidRPr="0053732C">
        <w:rPr>
          <w:sz w:val="20"/>
        </w:rPr>
        <w:t xml:space="preserve"> $178</w:t>
      </w:r>
      <w:r w:rsidR="00A32A61">
        <w:rPr>
          <w:sz w:val="20"/>
        </w:rPr>
        <w:t>M</w:t>
      </w:r>
      <w:r w:rsidR="00DE3A30" w:rsidRPr="0053732C">
        <w:rPr>
          <w:sz w:val="20"/>
        </w:rPr>
        <w:t xml:space="preserve">, which easily </w:t>
      </w:r>
      <w:r w:rsidR="00ED544E">
        <w:rPr>
          <w:sz w:val="20"/>
        </w:rPr>
        <w:t>exceeds</w:t>
      </w:r>
      <w:r w:rsidR="00DE3A30" w:rsidRPr="0053732C">
        <w:rPr>
          <w:sz w:val="20"/>
        </w:rPr>
        <w:t xml:space="preserve"> the related annual DSHP non-federal share match expectation of the State Home Care program.</w:t>
      </w:r>
    </w:p>
  </w:footnote>
  <w:footnote w:id="4">
    <w:p w14:paraId="1D565016" w14:textId="61187E4D" w:rsidR="00EB4881" w:rsidRDefault="00EB4881">
      <w:pPr>
        <w:pStyle w:val="FootnoteText"/>
      </w:pPr>
      <w:r>
        <w:rPr>
          <w:rStyle w:val="FootnoteReference"/>
        </w:rPr>
        <w:footnoteRef/>
      </w:r>
      <w:r>
        <w:t xml:space="preserve"> </w:t>
      </w:r>
      <w:r w:rsidR="0084447F">
        <w:t xml:space="preserve">The figure of $2.0M is offered </w:t>
      </w:r>
      <w:r w:rsidR="0000527A">
        <w:t xml:space="preserve">based on </w:t>
      </w:r>
      <w:r w:rsidR="00791301">
        <w:t xml:space="preserve">applying a 3% surplus factor to </w:t>
      </w:r>
      <w:r w:rsidR="0000527A">
        <w:t xml:space="preserve">an estimate of </w:t>
      </w:r>
      <w:r w:rsidR="00BF2C87">
        <w:t>$66.5</w:t>
      </w:r>
      <w:r w:rsidR="00A32A61">
        <w:t>M</w:t>
      </w:r>
      <w:r w:rsidR="00BF2C87">
        <w:t xml:space="preserve"> in </w:t>
      </w:r>
      <w:r w:rsidR="00791301">
        <w:t>annual capitation payment</w:t>
      </w:r>
      <w:r w:rsidR="00652165">
        <w:t>s</w:t>
      </w:r>
      <w:r w:rsidR="00395083">
        <w:t>.</w:t>
      </w:r>
    </w:p>
    <w:p w14:paraId="5AB98506" w14:textId="77777777" w:rsidR="0030500F" w:rsidRDefault="0030500F">
      <w:pPr>
        <w:pStyle w:val="FootnoteText"/>
      </w:pP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C4986F66"/>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8763C0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26D2C1D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9AF4021C"/>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6FA68F6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580A6C0"/>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2EFE450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772C68B4"/>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146242D6"/>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12BC200A"/>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07A712E"/>
    <w:multiLevelType w:val="multilevel"/>
    <w:tmpl w:val="A5D0A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28552DE"/>
    <w:multiLevelType w:val="hybridMultilevel"/>
    <w:tmpl w:val="3992042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3B32122"/>
    <w:multiLevelType w:val="hybridMultilevel"/>
    <w:tmpl w:val="B964A2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737081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0A42467A"/>
    <w:multiLevelType w:val="multilevel"/>
    <w:tmpl w:val="32C64BC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5" w15:restartNumberingAfterBreak="0">
    <w:nsid w:val="0B086CCA"/>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6" w15:restartNumberingAfterBreak="0">
    <w:nsid w:val="0DBE68A0"/>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126A1AC5"/>
    <w:multiLevelType w:val="multilevel"/>
    <w:tmpl w:val="43AA22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1482775B"/>
    <w:multiLevelType w:val="multilevel"/>
    <w:tmpl w:val="0EBA3C4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9" w15:restartNumberingAfterBreak="0">
    <w:nsid w:val="157272B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20465AFD"/>
    <w:multiLevelType w:val="hybridMultilevel"/>
    <w:tmpl w:val="79B487E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F9A3F7E"/>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2" w15:restartNumberingAfterBreak="0">
    <w:nsid w:val="41257AC1"/>
    <w:multiLevelType w:val="hybridMultilevel"/>
    <w:tmpl w:val="1234C86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986523D"/>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4" w15:restartNumberingAfterBreak="0">
    <w:nsid w:val="70DA2CDC"/>
    <w:multiLevelType w:val="hybridMultilevel"/>
    <w:tmpl w:val="844E04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8"/>
  </w:num>
  <w:num w:numId="2">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8"/>
  </w:num>
  <w:num w:numId="4">
    <w:abstractNumId w:val="18"/>
  </w:num>
  <w:num w:numId="5">
    <w:abstractNumId w:val="18"/>
  </w:num>
  <w:num w:numId="6">
    <w:abstractNumId w:val="18"/>
  </w:num>
  <w:num w:numId="7">
    <w:abstractNumId w:val="18"/>
  </w:num>
  <w:num w:numId="8">
    <w:abstractNumId w:val="18"/>
  </w:num>
  <w:num w:numId="9">
    <w:abstractNumId w:val="18"/>
  </w:num>
  <w:num w:numId="10">
    <w:abstractNumId w:val="18"/>
  </w:num>
  <w:num w:numId="11">
    <w:abstractNumId w:val="18"/>
  </w:num>
  <w:num w:numId="12">
    <w:abstractNumId w:val="18"/>
  </w:num>
  <w:num w:numId="13">
    <w:abstractNumId w:val="13"/>
  </w:num>
  <w:num w:numId="14">
    <w:abstractNumId w:val="23"/>
  </w:num>
  <w:num w:numId="15">
    <w:abstractNumId w:val="14"/>
  </w:num>
  <w:num w:numId="16">
    <w:abstractNumId w:val="15"/>
  </w:num>
  <w:num w:numId="17">
    <w:abstractNumId w:val="9"/>
  </w:num>
  <w:num w:numId="18">
    <w:abstractNumId w:val="7"/>
  </w:num>
  <w:num w:numId="19">
    <w:abstractNumId w:val="6"/>
  </w:num>
  <w:num w:numId="20">
    <w:abstractNumId w:val="5"/>
  </w:num>
  <w:num w:numId="21">
    <w:abstractNumId w:val="4"/>
  </w:num>
  <w:num w:numId="22">
    <w:abstractNumId w:val="8"/>
  </w:num>
  <w:num w:numId="23">
    <w:abstractNumId w:val="3"/>
  </w:num>
  <w:num w:numId="24">
    <w:abstractNumId w:val="2"/>
  </w:num>
  <w:num w:numId="25">
    <w:abstractNumId w:val="1"/>
  </w:num>
  <w:num w:numId="26">
    <w:abstractNumId w:val="0"/>
  </w:num>
  <w:num w:numId="27">
    <w:abstractNumId w:val="16"/>
  </w:num>
  <w:num w:numId="28">
    <w:abstractNumId w:val="19"/>
  </w:num>
  <w:num w:numId="29">
    <w:abstractNumId w:val="21"/>
  </w:num>
  <w:num w:numId="30">
    <w:abstractNumId w:val="11"/>
  </w:num>
  <w:num w:numId="31">
    <w:abstractNumId w:val="20"/>
  </w:num>
  <w:num w:numId="32">
    <w:abstractNumId w:val="17"/>
  </w:num>
  <w:num w:numId="33">
    <w:abstractNumId w:val="10"/>
  </w:num>
  <w:num w:numId="34">
    <w:abstractNumId w:val="12"/>
  </w:num>
  <w:num w:numId="35">
    <w:abstractNumId w:val="24"/>
  </w:num>
  <w:num w:numId="36">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removePersonalInformation/>
  <w:removeDateAndTime/>
  <w:defaultTabStop w:val="708"/>
  <w:hyphenationZone w:val="425"/>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6CCF"/>
    <w:rsid w:val="00003CC2"/>
    <w:rsid w:val="00003F3D"/>
    <w:rsid w:val="00004CB2"/>
    <w:rsid w:val="0000527A"/>
    <w:rsid w:val="00005BC3"/>
    <w:rsid w:val="000063E3"/>
    <w:rsid w:val="00011C8B"/>
    <w:rsid w:val="00013055"/>
    <w:rsid w:val="0002171A"/>
    <w:rsid w:val="00036923"/>
    <w:rsid w:val="00036D5F"/>
    <w:rsid w:val="00036D73"/>
    <w:rsid w:val="00043E4B"/>
    <w:rsid w:val="00047BBB"/>
    <w:rsid w:val="00052934"/>
    <w:rsid w:val="00057787"/>
    <w:rsid w:val="00067072"/>
    <w:rsid w:val="000702F5"/>
    <w:rsid w:val="00073BB5"/>
    <w:rsid w:val="000751E6"/>
    <w:rsid w:val="00075F7E"/>
    <w:rsid w:val="00076FB4"/>
    <w:rsid w:val="00077A6C"/>
    <w:rsid w:val="00082DBE"/>
    <w:rsid w:val="00083BA7"/>
    <w:rsid w:val="00084147"/>
    <w:rsid w:val="00086E9E"/>
    <w:rsid w:val="00092484"/>
    <w:rsid w:val="00092F90"/>
    <w:rsid w:val="0009585C"/>
    <w:rsid w:val="00095F03"/>
    <w:rsid w:val="000A3D72"/>
    <w:rsid w:val="000A559E"/>
    <w:rsid w:val="000A6348"/>
    <w:rsid w:val="000A636A"/>
    <w:rsid w:val="000B029F"/>
    <w:rsid w:val="000B033F"/>
    <w:rsid w:val="000B1259"/>
    <w:rsid w:val="000B2226"/>
    <w:rsid w:val="000B4AAB"/>
    <w:rsid w:val="000B65DC"/>
    <w:rsid w:val="000C0954"/>
    <w:rsid w:val="000C11A1"/>
    <w:rsid w:val="000C38CB"/>
    <w:rsid w:val="000C58DD"/>
    <w:rsid w:val="000C706D"/>
    <w:rsid w:val="000C7CAB"/>
    <w:rsid w:val="000D0205"/>
    <w:rsid w:val="000D1B8B"/>
    <w:rsid w:val="000D49EB"/>
    <w:rsid w:val="000D4A45"/>
    <w:rsid w:val="000D534A"/>
    <w:rsid w:val="000D65C5"/>
    <w:rsid w:val="000D7582"/>
    <w:rsid w:val="000E2A1A"/>
    <w:rsid w:val="000F00C0"/>
    <w:rsid w:val="000F22C8"/>
    <w:rsid w:val="000F6FB2"/>
    <w:rsid w:val="00107459"/>
    <w:rsid w:val="00112698"/>
    <w:rsid w:val="001135A8"/>
    <w:rsid w:val="001151C2"/>
    <w:rsid w:val="001163B7"/>
    <w:rsid w:val="00116663"/>
    <w:rsid w:val="0011747D"/>
    <w:rsid w:val="001248FE"/>
    <w:rsid w:val="00134BCD"/>
    <w:rsid w:val="00136B48"/>
    <w:rsid w:val="00141AB6"/>
    <w:rsid w:val="00142BF4"/>
    <w:rsid w:val="00144250"/>
    <w:rsid w:val="00146BA1"/>
    <w:rsid w:val="001507A5"/>
    <w:rsid w:val="00150DB1"/>
    <w:rsid w:val="0015128C"/>
    <w:rsid w:val="00154D7A"/>
    <w:rsid w:val="0015772F"/>
    <w:rsid w:val="00163BB7"/>
    <w:rsid w:val="001645CA"/>
    <w:rsid w:val="0016698A"/>
    <w:rsid w:val="00167B8C"/>
    <w:rsid w:val="00172FAF"/>
    <w:rsid w:val="001741A4"/>
    <w:rsid w:val="00174C29"/>
    <w:rsid w:val="00174C87"/>
    <w:rsid w:val="001830F7"/>
    <w:rsid w:val="001841AC"/>
    <w:rsid w:val="00186DEF"/>
    <w:rsid w:val="001872B8"/>
    <w:rsid w:val="00191A9A"/>
    <w:rsid w:val="00193844"/>
    <w:rsid w:val="001A0B4A"/>
    <w:rsid w:val="001A3274"/>
    <w:rsid w:val="001A3AD5"/>
    <w:rsid w:val="001A409D"/>
    <w:rsid w:val="001A4304"/>
    <w:rsid w:val="001A7B46"/>
    <w:rsid w:val="001B0F92"/>
    <w:rsid w:val="001B0FDA"/>
    <w:rsid w:val="001B4F7B"/>
    <w:rsid w:val="001B5E30"/>
    <w:rsid w:val="001B65EA"/>
    <w:rsid w:val="001B7CED"/>
    <w:rsid w:val="001C07C1"/>
    <w:rsid w:val="001C20BE"/>
    <w:rsid w:val="001C2C65"/>
    <w:rsid w:val="001C2CC8"/>
    <w:rsid w:val="001C4F08"/>
    <w:rsid w:val="001C611E"/>
    <w:rsid w:val="001C6787"/>
    <w:rsid w:val="001D02B9"/>
    <w:rsid w:val="001D3E14"/>
    <w:rsid w:val="001D4362"/>
    <w:rsid w:val="001D5066"/>
    <w:rsid w:val="001D62A8"/>
    <w:rsid w:val="001E5E7B"/>
    <w:rsid w:val="001E6403"/>
    <w:rsid w:val="001F225C"/>
    <w:rsid w:val="001F3645"/>
    <w:rsid w:val="001F5A79"/>
    <w:rsid w:val="00201B06"/>
    <w:rsid w:val="0020482E"/>
    <w:rsid w:val="002057C1"/>
    <w:rsid w:val="00211963"/>
    <w:rsid w:val="00217D68"/>
    <w:rsid w:val="002202DA"/>
    <w:rsid w:val="00220D0E"/>
    <w:rsid w:val="00221743"/>
    <w:rsid w:val="00221925"/>
    <w:rsid w:val="00227DAB"/>
    <w:rsid w:val="00230C01"/>
    <w:rsid w:val="00233278"/>
    <w:rsid w:val="002365CA"/>
    <w:rsid w:val="002375F4"/>
    <w:rsid w:val="00241E14"/>
    <w:rsid w:val="00242354"/>
    <w:rsid w:val="002439D0"/>
    <w:rsid w:val="002459DF"/>
    <w:rsid w:val="002476CF"/>
    <w:rsid w:val="0025162E"/>
    <w:rsid w:val="00253982"/>
    <w:rsid w:val="002553AA"/>
    <w:rsid w:val="00257C61"/>
    <w:rsid w:val="00261514"/>
    <w:rsid w:val="002674A7"/>
    <w:rsid w:val="00270282"/>
    <w:rsid w:val="0027157D"/>
    <w:rsid w:val="002727FD"/>
    <w:rsid w:val="00273465"/>
    <w:rsid w:val="00275802"/>
    <w:rsid w:val="002804EF"/>
    <w:rsid w:val="0028080F"/>
    <w:rsid w:val="002832BB"/>
    <w:rsid w:val="00283750"/>
    <w:rsid w:val="00284807"/>
    <w:rsid w:val="002848FE"/>
    <w:rsid w:val="00286F5C"/>
    <w:rsid w:val="002903C7"/>
    <w:rsid w:val="0029496B"/>
    <w:rsid w:val="002951B4"/>
    <w:rsid w:val="00295376"/>
    <w:rsid w:val="00296672"/>
    <w:rsid w:val="00296BB0"/>
    <w:rsid w:val="00296D7D"/>
    <w:rsid w:val="0029719A"/>
    <w:rsid w:val="002A08DF"/>
    <w:rsid w:val="002A37ED"/>
    <w:rsid w:val="002A4761"/>
    <w:rsid w:val="002A5165"/>
    <w:rsid w:val="002A74CB"/>
    <w:rsid w:val="002B16F5"/>
    <w:rsid w:val="002B5248"/>
    <w:rsid w:val="002C1569"/>
    <w:rsid w:val="002C6517"/>
    <w:rsid w:val="002D31D4"/>
    <w:rsid w:val="002E77AE"/>
    <w:rsid w:val="002F05E4"/>
    <w:rsid w:val="002F229E"/>
    <w:rsid w:val="002F2FB1"/>
    <w:rsid w:val="002F3B4B"/>
    <w:rsid w:val="002F4218"/>
    <w:rsid w:val="002F5087"/>
    <w:rsid w:val="00303565"/>
    <w:rsid w:val="00303B3D"/>
    <w:rsid w:val="0030500F"/>
    <w:rsid w:val="00313C71"/>
    <w:rsid w:val="00320825"/>
    <w:rsid w:val="003229C7"/>
    <w:rsid w:val="00324883"/>
    <w:rsid w:val="00332D0D"/>
    <w:rsid w:val="0033466C"/>
    <w:rsid w:val="00334BEB"/>
    <w:rsid w:val="00336412"/>
    <w:rsid w:val="00340338"/>
    <w:rsid w:val="003411C2"/>
    <w:rsid w:val="00342A33"/>
    <w:rsid w:val="00343F2B"/>
    <w:rsid w:val="00347DFE"/>
    <w:rsid w:val="003522F7"/>
    <w:rsid w:val="003564A6"/>
    <w:rsid w:val="00357C2F"/>
    <w:rsid w:val="00362E24"/>
    <w:rsid w:val="00363CC3"/>
    <w:rsid w:val="0036582F"/>
    <w:rsid w:val="00365D0F"/>
    <w:rsid w:val="003722DD"/>
    <w:rsid w:val="003735C8"/>
    <w:rsid w:val="00380EA8"/>
    <w:rsid w:val="00383C2E"/>
    <w:rsid w:val="00385CF5"/>
    <w:rsid w:val="003875F9"/>
    <w:rsid w:val="00395083"/>
    <w:rsid w:val="003A1933"/>
    <w:rsid w:val="003A54C8"/>
    <w:rsid w:val="003A5B60"/>
    <w:rsid w:val="003A6779"/>
    <w:rsid w:val="003A6DFE"/>
    <w:rsid w:val="003B167D"/>
    <w:rsid w:val="003B2A32"/>
    <w:rsid w:val="003C45DD"/>
    <w:rsid w:val="003C5630"/>
    <w:rsid w:val="003E22AF"/>
    <w:rsid w:val="003E4ADA"/>
    <w:rsid w:val="003E52B8"/>
    <w:rsid w:val="003F1BE2"/>
    <w:rsid w:val="003F30C3"/>
    <w:rsid w:val="003F443E"/>
    <w:rsid w:val="0040108F"/>
    <w:rsid w:val="00401414"/>
    <w:rsid w:val="00402252"/>
    <w:rsid w:val="004053EE"/>
    <w:rsid w:val="0040737C"/>
    <w:rsid w:val="004110A1"/>
    <w:rsid w:val="0041228F"/>
    <w:rsid w:val="00416B20"/>
    <w:rsid w:val="00420EBB"/>
    <w:rsid w:val="00424D6B"/>
    <w:rsid w:val="00430C36"/>
    <w:rsid w:val="004372FC"/>
    <w:rsid w:val="00441DC1"/>
    <w:rsid w:val="004430B7"/>
    <w:rsid w:val="0044445E"/>
    <w:rsid w:val="004534D2"/>
    <w:rsid w:val="00453B54"/>
    <w:rsid w:val="00453C8A"/>
    <w:rsid w:val="0045650B"/>
    <w:rsid w:val="00456803"/>
    <w:rsid w:val="00457224"/>
    <w:rsid w:val="0046224C"/>
    <w:rsid w:val="00464DFB"/>
    <w:rsid w:val="00466D69"/>
    <w:rsid w:val="00473E7A"/>
    <w:rsid w:val="00476899"/>
    <w:rsid w:val="00482E89"/>
    <w:rsid w:val="00484465"/>
    <w:rsid w:val="00491C62"/>
    <w:rsid w:val="00493CB6"/>
    <w:rsid w:val="004A1024"/>
    <w:rsid w:val="004A2D59"/>
    <w:rsid w:val="004A338E"/>
    <w:rsid w:val="004A502C"/>
    <w:rsid w:val="004A695E"/>
    <w:rsid w:val="004B0650"/>
    <w:rsid w:val="004B1F27"/>
    <w:rsid w:val="004B79ED"/>
    <w:rsid w:val="004C15ED"/>
    <w:rsid w:val="004C1B1B"/>
    <w:rsid w:val="004C1DF0"/>
    <w:rsid w:val="004C2DBA"/>
    <w:rsid w:val="004C3A95"/>
    <w:rsid w:val="004D061B"/>
    <w:rsid w:val="004D6DF4"/>
    <w:rsid w:val="004D7642"/>
    <w:rsid w:val="004D7AA1"/>
    <w:rsid w:val="004E1F6D"/>
    <w:rsid w:val="004E20EA"/>
    <w:rsid w:val="004E26DC"/>
    <w:rsid w:val="004F1DCD"/>
    <w:rsid w:val="004F6757"/>
    <w:rsid w:val="004F7788"/>
    <w:rsid w:val="004F7B73"/>
    <w:rsid w:val="0050088C"/>
    <w:rsid w:val="00500A3F"/>
    <w:rsid w:val="00501E1E"/>
    <w:rsid w:val="00510B16"/>
    <w:rsid w:val="00511547"/>
    <w:rsid w:val="00517C60"/>
    <w:rsid w:val="00521985"/>
    <w:rsid w:val="005268EA"/>
    <w:rsid w:val="00527512"/>
    <w:rsid w:val="00534EC4"/>
    <w:rsid w:val="0053511F"/>
    <w:rsid w:val="0053732C"/>
    <w:rsid w:val="00537EFD"/>
    <w:rsid w:val="005409BD"/>
    <w:rsid w:val="00541886"/>
    <w:rsid w:val="005440D1"/>
    <w:rsid w:val="005502C4"/>
    <w:rsid w:val="00550C2D"/>
    <w:rsid w:val="00550EBF"/>
    <w:rsid w:val="00551870"/>
    <w:rsid w:val="005519CC"/>
    <w:rsid w:val="00552D43"/>
    <w:rsid w:val="00557494"/>
    <w:rsid w:val="005619A9"/>
    <w:rsid w:val="00573E75"/>
    <w:rsid w:val="00577891"/>
    <w:rsid w:val="005913AA"/>
    <w:rsid w:val="00591689"/>
    <w:rsid w:val="00593363"/>
    <w:rsid w:val="005945A4"/>
    <w:rsid w:val="005964CC"/>
    <w:rsid w:val="005A6AD6"/>
    <w:rsid w:val="005A78B9"/>
    <w:rsid w:val="005B02D2"/>
    <w:rsid w:val="005B129E"/>
    <w:rsid w:val="005B15DE"/>
    <w:rsid w:val="005B21E5"/>
    <w:rsid w:val="005B66A9"/>
    <w:rsid w:val="005B6EEC"/>
    <w:rsid w:val="005B7375"/>
    <w:rsid w:val="005C1129"/>
    <w:rsid w:val="005C12E5"/>
    <w:rsid w:val="005C362B"/>
    <w:rsid w:val="005C52F2"/>
    <w:rsid w:val="005C53F0"/>
    <w:rsid w:val="005D1E0F"/>
    <w:rsid w:val="005D5F1C"/>
    <w:rsid w:val="005E0C96"/>
    <w:rsid w:val="005E0DAE"/>
    <w:rsid w:val="005E39B9"/>
    <w:rsid w:val="005E39D3"/>
    <w:rsid w:val="005E69DD"/>
    <w:rsid w:val="005E75CC"/>
    <w:rsid w:val="005E7B06"/>
    <w:rsid w:val="005F3EA4"/>
    <w:rsid w:val="005F69F0"/>
    <w:rsid w:val="006002BF"/>
    <w:rsid w:val="00601C8D"/>
    <w:rsid w:val="00603363"/>
    <w:rsid w:val="00606FD5"/>
    <w:rsid w:val="00611952"/>
    <w:rsid w:val="00612F76"/>
    <w:rsid w:val="00615A16"/>
    <w:rsid w:val="00617E5F"/>
    <w:rsid w:val="006214D9"/>
    <w:rsid w:val="00630736"/>
    <w:rsid w:val="00632219"/>
    <w:rsid w:val="006341D9"/>
    <w:rsid w:val="0063462E"/>
    <w:rsid w:val="006354D8"/>
    <w:rsid w:val="006357F3"/>
    <w:rsid w:val="006420BE"/>
    <w:rsid w:val="00645F71"/>
    <w:rsid w:val="006515BA"/>
    <w:rsid w:val="00652165"/>
    <w:rsid w:val="0065507D"/>
    <w:rsid w:val="00655789"/>
    <w:rsid w:val="00655C22"/>
    <w:rsid w:val="006569EC"/>
    <w:rsid w:val="00662F62"/>
    <w:rsid w:val="0066724F"/>
    <w:rsid w:val="00670670"/>
    <w:rsid w:val="00673117"/>
    <w:rsid w:val="0067415B"/>
    <w:rsid w:val="00674D40"/>
    <w:rsid w:val="0067693A"/>
    <w:rsid w:val="00680233"/>
    <w:rsid w:val="00683968"/>
    <w:rsid w:val="00692E29"/>
    <w:rsid w:val="0069325A"/>
    <w:rsid w:val="00696E44"/>
    <w:rsid w:val="006978C9"/>
    <w:rsid w:val="006A3E2D"/>
    <w:rsid w:val="006A487E"/>
    <w:rsid w:val="006A6D75"/>
    <w:rsid w:val="006A6F85"/>
    <w:rsid w:val="006B08D1"/>
    <w:rsid w:val="006B26F3"/>
    <w:rsid w:val="006B4734"/>
    <w:rsid w:val="006B688B"/>
    <w:rsid w:val="006C4028"/>
    <w:rsid w:val="006D33AE"/>
    <w:rsid w:val="006D3DFB"/>
    <w:rsid w:val="006E3C32"/>
    <w:rsid w:val="006E3D6F"/>
    <w:rsid w:val="006E4B75"/>
    <w:rsid w:val="006E67BB"/>
    <w:rsid w:val="006F1425"/>
    <w:rsid w:val="006F1DD2"/>
    <w:rsid w:val="006F2068"/>
    <w:rsid w:val="006F6343"/>
    <w:rsid w:val="006F73F5"/>
    <w:rsid w:val="006F7B46"/>
    <w:rsid w:val="00700713"/>
    <w:rsid w:val="00702A2E"/>
    <w:rsid w:val="00703CCF"/>
    <w:rsid w:val="00703D8E"/>
    <w:rsid w:val="00705372"/>
    <w:rsid w:val="00710667"/>
    <w:rsid w:val="00711C4F"/>
    <w:rsid w:val="007141A8"/>
    <w:rsid w:val="00714D29"/>
    <w:rsid w:val="0072312A"/>
    <w:rsid w:val="00723905"/>
    <w:rsid w:val="00724D33"/>
    <w:rsid w:val="00726393"/>
    <w:rsid w:val="0072657A"/>
    <w:rsid w:val="00726C1E"/>
    <w:rsid w:val="00730135"/>
    <w:rsid w:val="007307D2"/>
    <w:rsid w:val="00736FCC"/>
    <w:rsid w:val="00737443"/>
    <w:rsid w:val="007379F4"/>
    <w:rsid w:val="00737BCD"/>
    <w:rsid w:val="007429F5"/>
    <w:rsid w:val="007431B0"/>
    <w:rsid w:val="00743427"/>
    <w:rsid w:val="00743FE7"/>
    <w:rsid w:val="00744A23"/>
    <w:rsid w:val="00745BC3"/>
    <w:rsid w:val="00747A38"/>
    <w:rsid w:val="00750699"/>
    <w:rsid w:val="00752281"/>
    <w:rsid w:val="00752F24"/>
    <w:rsid w:val="007572A3"/>
    <w:rsid w:val="00757496"/>
    <w:rsid w:val="0076301B"/>
    <w:rsid w:val="00763482"/>
    <w:rsid w:val="00764B0A"/>
    <w:rsid w:val="007668A7"/>
    <w:rsid w:val="00767CAC"/>
    <w:rsid w:val="007771B4"/>
    <w:rsid w:val="007812EC"/>
    <w:rsid w:val="00783366"/>
    <w:rsid w:val="007833A7"/>
    <w:rsid w:val="00785BDF"/>
    <w:rsid w:val="00791301"/>
    <w:rsid w:val="0079156C"/>
    <w:rsid w:val="00797C8F"/>
    <w:rsid w:val="007A1C0F"/>
    <w:rsid w:val="007A1E67"/>
    <w:rsid w:val="007A39B2"/>
    <w:rsid w:val="007A43CE"/>
    <w:rsid w:val="007A665C"/>
    <w:rsid w:val="007B011A"/>
    <w:rsid w:val="007B1CD9"/>
    <w:rsid w:val="007D3853"/>
    <w:rsid w:val="007D6CCF"/>
    <w:rsid w:val="007E4DFC"/>
    <w:rsid w:val="007E5490"/>
    <w:rsid w:val="007E6F96"/>
    <w:rsid w:val="007E7B60"/>
    <w:rsid w:val="007F09AE"/>
    <w:rsid w:val="007F763C"/>
    <w:rsid w:val="007F7FC3"/>
    <w:rsid w:val="00801DD3"/>
    <w:rsid w:val="00806B99"/>
    <w:rsid w:val="00807566"/>
    <w:rsid w:val="0081043B"/>
    <w:rsid w:val="00812888"/>
    <w:rsid w:val="00814CA5"/>
    <w:rsid w:val="0081557E"/>
    <w:rsid w:val="00820896"/>
    <w:rsid w:val="00821DAA"/>
    <w:rsid w:val="00824FE5"/>
    <w:rsid w:val="00826414"/>
    <w:rsid w:val="008271F3"/>
    <w:rsid w:val="0083151E"/>
    <w:rsid w:val="0083175E"/>
    <w:rsid w:val="00834995"/>
    <w:rsid w:val="00835DC7"/>
    <w:rsid w:val="00840B84"/>
    <w:rsid w:val="0084286C"/>
    <w:rsid w:val="00842991"/>
    <w:rsid w:val="00842A66"/>
    <w:rsid w:val="0084447F"/>
    <w:rsid w:val="00846677"/>
    <w:rsid w:val="008530A1"/>
    <w:rsid w:val="008530DB"/>
    <w:rsid w:val="00855982"/>
    <w:rsid w:val="00855F51"/>
    <w:rsid w:val="00860866"/>
    <w:rsid w:val="00860C52"/>
    <w:rsid w:val="0086223F"/>
    <w:rsid w:val="0086483B"/>
    <w:rsid w:val="00864FF0"/>
    <w:rsid w:val="00865802"/>
    <w:rsid w:val="00865BC6"/>
    <w:rsid w:val="00865CC4"/>
    <w:rsid w:val="00867251"/>
    <w:rsid w:val="0087573D"/>
    <w:rsid w:val="008769E1"/>
    <w:rsid w:val="00876A6C"/>
    <w:rsid w:val="0087791C"/>
    <w:rsid w:val="0088032C"/>
    <w:rsid w:val="008828A9"/>
    <w:rsid w:val="008860A1"/>
    <w:rsid w:val="0088787E"/>
    <w:rsid w:val="00894293"/>
    <w:rsid w:val="008B0107"/>
    <w:rsid w:val="008B1444"/>
    <w:rsid w:val="008B26B9"/>
    <w:rsid w:val="008B2AEE"/>
    <w:rsid w:val="008B5AB1"/>
    <w:rsid w:val="008C5822"/>
    <w:rsid w:val="008C720B"/>
    <w:rsid w:val="008C7895"/>
    <w:rsid w:val="008D0846"/>
    <w:rsid w:val="008D12C3"/>
    <w:rsid w:val="008D1CD4"/>
    <w:rsid w:val="008D3661"/>
    <w:rsid w:val="008D4AF3"/>
    <w:rsid w:val="008D6CA1"/>
    <w:rsid w:val="008D6D9E"/>
    <w:rsid w:val="008E2E31"/>
    <w:rsid w:val="008E54E7"/>
    <w:rsid w:val="008F14F3"/>
    <w:rsid w:val="008F559A"/>
    <w:rsid w:val="008F6CFA"/>
    <w:rsid w:val="009009D7"/>
    <w:rsid w:val="00901178"/>
    <w:rsid w:val="00902A37"/>
    <w:rsid w:val="00902AD6"/>
    <w:rsid w:val="00902AFB"/>
    <w:rsid w:val="00905895"/>
    <w:rsid w:val="00906E8D"/>
    <w:rsid w:val="00907CA3"/>
    <w:rsid w:val="0091189F"/>
    <w:rsid w:val="00914891"/>
    <w:rsid w:val="0093411F"/>
    <w:rsid w:val="0094067C"/>
    <w:rsid w:val="009406FB"/>
    <w:rsid w:val="00940950"/>
    <w:rsid w:val="00943478"/>
    <w:rsid w:val="00943DA6"/>
    <w:rsid w:val="00944B32"/>
    <w:rsid w:val="009451AF"/>
    <w:rsid w:val="009512E4"/>
    <w:rsid w:val="00951701"/>
    <w:rsid w:val="00952ACC"/>
    <w:rsid w:val="009541E2"/>
    <w:rsid w:val="009552DF"/>
    <w:rsid w:val="00956DE8"/>
    <w:rsid w:val="0096011B"/>
    <w:rsid w:val="00960D55"/>
    <w:rsid w:val="0096178D"/>
    <w:rsid w:val="00961E41"/>
    <w:rsid w:val="00962F39"/>
    <w:rsid w:val="00962F9E"/>
    <w:rsid w:val="00964D18"/>
    <w:rsid w:val="00966D26"/>
    <w:rsid w:val="00966E81"/>
    <w:rsid w:val="00967AA1"/>
    <w:rsid w:val="0097098E"/>
    <w:rsid w:val="00970E4B"/>
    <w:rsid w:val="009749A6"/>
    <w:rsid w:val="00982204"/>
    <w:rsid w:val="00982B46"/>
    <w:rsid w:val="009871E3"/>
    <w:rsid w:val="0099145B"/>
    <w:rsid w:val="00992C4F"/>
    <w:rsid w:val="00994C5C"/>
    <w:rsid w:val="00996191"/>
    <w:rsid w:val="009971D6"/>
    <w:rsid w:val="009A14A1"/>
    <w:rsid w:val="009A741B"/>
    <w:rsid w:val="009B11E5"/>
    <w:rsid w:val="009B1F1C"/>
    <w:rsid w:val="009B3D21"/>
    <w:rsid w:val="009B54B7"/>
    <w:rsid w:val="009B6809"/>
    <w:rsid w:val="009B775D"/>
    <w:rsid w:val="009C20F2"/>
    <w:rsid w:val="009C66FC"/>
    <w:rsid w:val="009C7098"/>
    <w:rsid w:val="009D0BF2"/>
    <w:rsid w:val="009D2F1D"/>
    <w:rsid w:val="009D338D"/>
    <w:rsid w:val="009D35E5"/>
    <w:rsid w:val="009D4D35"/>
    <w:rsid w:val="009E10DC"/>
    <w:rsid w:val="009F24C7"/>
    <w:rsid w:val="00A0003B"/>
    <w:rsid w:val="00A05DE0"/>
    <w:rsid w:val="00A06036"/>
    <w:rsid w:val="00A10484"/>
    <w:rsid w:val="00A1151C"/>
    <w:rsid w:val="00A11F08"/>
    <w:rsid w:val="00A12064"/>
    <w:rsid w:val="00A12078"/>
    <w:rsid w:val="00A125F9"/>
    <w:rsid w:val="00A134A4"/>
    <w:rsid w:val="00A14D2A"/>
    <w:rsid w:val="00A14FBD"/>
    <w:rsid w:val="00A2245E"/>
    <w:rsid w:val="00A2263A"/>
    <w:rsid w:val="00A23D19"/>
    <w:rsid w:val="00A306CD"/>
    <w:rsid w:val="00A3102E"/>
    <w:rsid w:val="00A32A61"/>
    <w:rsid w:val="00A37D94"/>
    <w:rsid w:val="00A429DE"/>
    <w:rsid w:val="00A43087"/>
    <w:rsid w:val="00A47239"/>
    <w:rsid w:val="00A5030D"/>
    <w:rsid w:val="00A51128"/>
    <w:rsid w:val="00A524E7"/>
    <w:rsid w:val="00A550A1"/>
    <w:rsid w:val="00A56D92"/>
    <w:rsid w:val="00A57235"/>
    <w:rsid w:val="00A60D75"/>
    <w:rsid w:val="00A62250"/>
    <w:rsid w:val="00A66100"/>
    <w:rsid w:val="00A7139B"/>
    <w:rsid w:val="00A717F4"/>
    <w:rsid w:val="00A76013"/>
    <w:rsid w:val="00A7620D"/>
    <w:rsid w:val="00A803EB"/>
    <w:rsid w:val="00A81311"/>
    <w:rsid w:val="00A81A69"/>
    <w:rsid w:val="00A82414"/>
    <w:rsid w:val="00A82D04"/>
    <w:rsid w:val="00A84B04"/>
    <w:rsid w:val="00A868ED"/>
    <w:rsid w:val="00A87F27"/>
    <w:rsid w:val="00A90639"/>
    <w:rsid w:val="00A90B6F"/>
    <w:rsid w:val="00A90C4A"/>
    <w:rsid w:val="00A9544B"/>
    <w:rsid w:val="00AA4BDE"/>
    <w:rsid w:val="00AB651E"/>
    <w:rsid w:val="00AC09D5"/>
    <w:rsid w:val="00AC4699"/>
    <w:rsid w:val="00AC4F21"/>
    <w:rsid w:val="00AD112A"/>
    <w:rsid w:val="00AD15E7"/>
    <w:rsid w:val="00AD1F51"/>
    <w:rsid w:val="00AD3F4E"/>
    <w:rsid w:val="00AD4923"/>
    <w:rsid w:val="00AE0C0F"/>
    <w:rsid w:val="00AE6C2C"/>
    <w:rsid w:val="00AF0E76"/>
    <w:rsid w:val="00AF35A3"/>
    <w:rsid w:val="00AF3C84"/>
    <w:rsid w:val="00AF5B49"/>
    <w:rsid w:val="00AF72C8"/>
    <w:rsid w:val="00B024B8"/>
    <w:rsid w:val="00B0351B"/>
    <w:rsid w:val="00B05AD9"/>
    <w:rsid w:val="00B10486"/>
    <w:rsid w:val="00B14C0F"/>
    <w:rsid w:val="00B16A40"/>
    <w:rsid w:val="00B204C1"/>
    <w:rsid w:val="00B301DC"/>
    <w:rsid w:val="00B30E62"/>
    <w:rsid w:val="00B31FD9"/>
    <w:rsid w:val="00B33DDA"/>
    <w:rsid w:val="00B36E85"/>
    <w:rsid w:val="00B40A74"/>
    <w:rsid w:val="00B43764"/>
    <w:rsid w:val="00B55DBF"/>
    <w:rsid w:val="00B56F77"/>
    <w:rsid w:val="00B64B47"/>
    <w:rsid w:val="00B65CCF"/>
    <w:rsid w:val="00B67F4E"/>
    <w:rsid w:val="00B738C7"/>
    <w:rsid w:val="00B73AAE"/>
    <w:rsid w:val="00B75010"/>
    <w:rsid w:val="00B759F9"/>
    <w:rsid w:val="00B76580"/>
    <w:rsid w:val="00B821C8"/>
    <w:rsid w:val="00B8566D"/>
    <w:rsid w:val="00B86B6F"/>
    <w:rsid w:val="00B87CF3"/>
    <w:rsid w:val="00B91417"/>
    <w:rsid w:val="00B9277D"/>
    <w:rsid w:val="00B94424"/>
    <w:rsid w:val="00B97748"/>
    <w:rsid w:val="00BA16CB"/>
    <w:rsid w:val="00BA3F3B"/>
    <w:rsid w:val="00BA59B2"/>
    <w:rsid w:val="00BA65D9"/>
    <w:rsid w:val="00BB3E55"/>
    <w:rsid w:val="00BB7713"/>
    <w:rsid w:val="00BC294C"/>
    <w:rsid w:val="00BC491E"/>
    <w:rsid w:val="00BD65C0"/>
    <w:rsid w:val="00BD7D19"/>
    <w:rsid w:val="00BE02DB"/>
    <w:rsid w:val="00BE0C99"/>
    <w:rsid w:val="00BE25FA"/>
    <w:rsid w:val="00BE57D9"/>
    <w:rsid w:val="00BE583C"/>
    <w:rsid w:val="00BE779C"/>
    <w:rsid w:val="00BF0855"/>
    <w:rsid w:val="00BF145C"/>
    <w:rsid w:val="00BF16B8"/>
    <w:rsid w:val="00BF1B8E"/>
    <w:rsid w:val="00BF2C87"/>
    <w:rsid w:val="00BF5212"/>
    <w:rsid w:val="00BF5A37"/>
    <w:rsid w:val="00BF6EDA"/>
    <w:rsid w:val="00C0511A"/>
    <w:rsid w:val="00C07835"/>
    <w:rsid w:val="00C148BF"/>
    <w:rsid w:val="00C20D13"/>
    <w:rsid w:val="00C239DD"/>
    <w:rsid w:val="00C23CEC"/>
    <w:rsid w:val="00C259B7"/>
    <w:rsid w:val="00C26C58"/>
    <w:rsid w:val="00C301FA"/>
    <w:rsid w:val="00C31593"/>
    <w:rsid w:val="00C3255C"/>
    <w:rsid w:val="00C332BF"/>
    <w:rsid w:val="00C3767B"/>
    <w:rsid w:val="00C37EC4"/>
    <w:rsid w:val="00C40146"/>
    <w:rsid w:val="00C4336C"/>
    <w:rsid w:val="00C4421C"/>
    <w:rsid w:val="00C462EB"/>
    <w:rsid w:val="00C46418"/>
    <w:rsid w:val="00C47C9F"/>
    <w:rsid w:val="00C50E07"/>
    <w:rsid w:val="00C52344"/>
    <w:rsid w:val="00C537D6"/>
    <w:rsid w:val="00C56076"/>
    <w:rsid w:val="00C5624F"/>
    <w:rsid w:val="00C56ECE"/>
    <w:rsid w:val="00C578A3"/>
    <w:rsid w:val="00C66815"/>
    <w:rsid w:val="00C711D1"/>
    <w:rsid w:val="00C80D4B"/>
    <w:rsid w:val="00C81450"/>
    <w:rsid w:val="00C8245A"/>
    <w:rsid w:val="00C8284A"/>
    <w:rsid w:val="00C867DA"/>
    <w:rsid w:val="00C87788"/>
    <w:rsid w:val="00C91429"/>
    <w:rsid w:val="00CA26A5"/>
    <w:rsid w:val="00CA69A2"/>
    <w:rsid w:val="00CB2454"/>
    <w:rsid w:val="00CB28CB"/>
    <w:rsid w:val="00CB54FF"/>
    <w:rsid w:val="00CB5AED"/>
    <w:rsid w:val="00CB7039"/>
    <w:rsid w:val="00CB7A16"/>
    <w:rsid w:val="00CB7F91"/>
    <w:rsid w:val="00CC1638"/>
    <w:rsid w:val="00CC1A16"/>
    <w:rsid w:val="00CC1C33"/>
    <w:rsid w:val="00CC3705"/>
    <w:rsid w:val="00CC443C"/>
    <w:rsid w:val="00CC4842"/>
    <w:rsid w:val="00CC620C"/>
    <w:rsid w:val="00CD1E31"/>
    <w:rsid w:val="00CE04C7"/>
    <w:rsid w:val="00CE7AA9"/>
    <w:rsid w:val="00CF144D"/>
    <w:rsid w:val="00CF20C8"/>
    <w:rsid w:val="00CF658B"/>
    <w:rsid w:val="00CF6825"/>
    <w:rsid w:val="00CF70C6"/>
    <w:rsid w:val="00CF743A"/>
    <w:rsid w:val="00CF749C"/>
    <w:rsid w:val="00D00B87"/>
    <w:rsid w:val="00D01F45"/>
    <w:rsid w:val="00D03264"/>
    <w:rsid w:val="00D05EDB"/>
    <w:rsid w:val="00D066B0"/>
    <w:rsid w:val="00D07CD8"/>
    <w:rsid w:val="00D122E1"/>
    <w:rsid w:val="00D14A6F"/>
    <w:rsid w:val="00D1570E"/>
    <w:rsid w:val="00D16B9B"/>
    <w:rsid w:val="00D20454"/>
    <w:rsid w:val="00D207F4"/>
    <w:rsid w:val="00D212A7"/>
    <w:rsid w:val="00D21630"/>
    <w:rsid w:val="00D22667"/>
    <w:rsid w:val="00D24B7F"/>
    <w:rsid w:val="00D2736F"/>
    <w:rsid w:val="00D3126B"/>
    <w:rsid w:val="00D31705"/>
    <w:rsid w:val="00D32775"/>
    <w:rsid w:val="00D35B0E"/>
    <w:rsid w:val="00D37948"/>
    <w:rsid w:val="00D428E9"/>
    <w:rsid w:val="00D54646"/>
    <w:rsid w:val="00D56E5D"/>
    <w:rsid w:val="00D56F2F"/>
    <w:rsid w:val="00D57EBE"/>
    <w:rsid w:val="00D60D48"/>
    <w:rsid w:val="00D648EA"/>
    <w:rsid w:val="00D74A51"/>
    <w:rsid w:val="00D7530B"/>
    <w:rsid w:val="00D82E47"/>
    <w:rsid w:val="00D83968"/>
    <w:rsid w:val="00D84850"/>
    <w:rsid w:val="00D86225"/>
    <w:rsid w:val="00D87F89"/>
    <w:rsid w:val="00D916A8"/>
    <w:rsid w:val="00D94D94"/>
    <w:rsid w:val="00DA1430"/>
    <w:rsid w:val="00DA30B0"/>
    <w:rsid w:val="00DA5331"/>
    <w:rsid w:val="00DB470E"/>
    <w:rsid w:val="00DB642F"/>
    <w:rsid w:val="00DB6954"/>
    <w:rsid w:val="00DC0023"/>
    <w:rsid w:val="00DC0CBC"/>
    <w:rsid w:val="00DC3F8A"/>
    <w:rsid w:val="00DD2B7F"/>
    <w:rsid w:val="00DD6D40"/>
    <w:rsid w:val="00DE1D4F"/>
    <w:rsid w:val="00DE3A30"/>
    <w:rsid w:val="00DE4AC0"/>
    <w:rsid w:val="00DE4BDA"/>
    <w:rsid w:val="00DE5B0D"/>
    <w:rsid w:val="00DF007D"/>
    <w:rsid w:val="00DF1A84"/>
    <w:rsid w:val="00DF321D"/>
    <w:rsid w:val="00DF3B44"/>
    <w:rsid w:val="00DF674E"/>
    <w:rsid w:val="00DF75DD"/>
    <w:rsid w:val="00E00CA2"/>
    <w:rsid w:val="00E10E14"/>
    <w:rsid w:val="00E11793"/>
    <w:rsid w:val="00E12AF3"/>
    <w:rsid w:val="00E12D00"/>
    <w:rsid w:val="00E14DA5"/>
    <w:rsid w:val="00E172C2"/>
    <w:rsid w:val="00E20141"/>
    <w:rsid w:val="00E2352C"/>
    <w:rsid w:val="00E27C0C"/>
    <w:rsid w:val="00E3279D"/>
    <w:rsid w:val="00E3408D"/>
    <w:rsid w:val="00E3513C"/>
    <w:rsid w:val="00E44530"/>
    <w:rsid w:val="00E4482A"/>
    <w:rsid w:val="00E44C65"/>
    <w:rsid w:val="00E450AE"/>
    <w:rsid w:val="00E465F6"/>
    <w:rsid w:val="00E47EFF"/>
    <w:rsid w:val="00E51AD9"/>
    <w:rsid w:val="00E54036"/>
    <w:rsid w:val="00E548B9"/>
    <w:rsid w:val="00E72914"/>
    <w:rsid w:val="00E77A98"/>
    <w:rsid w:val="00E81925"/>
    <w:rsid w:val="00E83BE9"/>
    <w:rsid w:val="00E8776C"/>
    <w:rsid w:val="00E87EF3"/>
    <w:rsid w:val="00E90D48"/>
    <w:rsid w:val="00E919C1"/>
    <w:rsid w:val="00E94D56"/>
    <w:rsid w:val="00E977D9"/>
    <w:rsid w:val="00EA1953"/>
    <w:rsid w:val="00EA2CF2"/>
    <w:rsid w:val="00EA4EBF"/>
    <w:rsid w:val="00EB0CD3"/>
    <w:rsid w:val="00EB29B1"/>
    <w:rsid w:val="00EB4881"/>
    <w:rsid w:val="00EC44F6"/>
    <w:rsid w:val="00EC69C9"/>
    <w:rsid w:val="00EC7B2F"/>
    <w:rsid w:val="00ED3314"/>
    <w:rsid w:val="00ED544E"/>
    <w:rsid w:val="00ED6070"/>
    <w:rsid w:val="00EE13C9"/>
    <w:rsid w:val="00EE2B7D"/>
    <w:rsid w:val="00EE3731"/>
    <w:rsid w:val="00EE7147"/>
    <w:rsid w:val="00EE733E"/>
    <w:rsid w:val="00EF43D3"/>
    <w:rsid w:val="00EF6FF5"/>
    <w:rsid w:val="00F02AE1"/>
    <w:rsid w:val="00F06845"/>
    <w:rsid w:val="00F11645"/>
    <w:rsid w:val="00F16856"/>
    <w:rsid w:val="00F16867"/>
    <w:rsid w:val="00F1704D"/>
    <w:rsid w:val="00F174C5"/>
    <w:rsid w:val="00F2151A"/>
    <w:rsid w:val="00F2524B"/>
    <w:rsid w:val="00F265CD"/>
    <w:rsid w:val="00F31962"/>
    <w:rsid w:val="00F35DA5"/>
    <w:rsid w:val="00F36259"/>
    <w:rsid w:val="00F36636"/>
    <w:rsid w:val="00F3676F"/>
    <w:rsid w:val="00F369EE"/>
    <w:rsid w:val="00F378A4"/>
    <w:rsid w:val="00F46D44"/>
    <w:rsid w:val="00F52F3A"/>
    <w:rsid w:val="00F55205"/>
    <w:rsid w:val="00F56B96"/>
    <w:rsid w:val="00F57FED"/>
    <w:rsid w:val="00F605FB"/>
    <w:rsid w:val="00F60EBC"/>
    <w:rsid w:val="00F63B7E"/>
    <w:rsid w:val="00F6755D"/>
    <w:rsid w:val="00F73730"/>
    <w:rsid w:val="00F75BC2"/>
    <w:rsid w:val="00F80C03"/>
    <w:rsid w:val="00F812C9"/>
    <w:rsid w:val="00F82038"/>
    <w:rsid w:val="00F831FE"/>
    <w:rsid w:val="00F84A7E"/>
    <w:rsid w:val="00F87B84"/>
    <w:rsid w:val="00F90881"/>
    <w:rsid w:val="00F94B9B"/>
    <w:rsid w:val="00F95E6C"/>
    <w:rsid w:val="00FA0958"/>
    <w:rsid w:val="00FA19BC"/>
    <w:rsid w:val="00FA5A07"/>
    <w:rsid w:val="00FB2C4B"/>
    <w:rsid w:val="00FB31D5"/>
    <w:rsid w:val="00FB7050"/>
    <w:rsid w:val="00FD1051"/>
    <w:rsid w:val="00FD262C"/>
    <w:rsid w:val="00FD4026"/>
    <w:rsid w:val="00FD41CB"/>
    <w:rsid w:val="00FE4575"/>
    <w:rsid w:val="00FE66CA"/>
    <w:rsid w:val="00FF2905"/>
    <w:rsid w:val="00FF36F7"/>
    <w:rsid w:val="00FF618E"/>
  </w:rsids>
  <m:mathPr>
    <m:mathFont m:val="Cambria Math"/>
    <m:brkBin m:val="before"/>
    <m:brkBinSub m:val="--"/>
    <m:smallFrac m:val="0"/>
    <m:dispDef/>
    <m:lMargin m:val="0"/>
    <m:rMargin m:val="0"/>
    <m:defJc m:val="centerGroup"/>
    <m:wrapIndent m:val="1440"/>
    <m:intLim m:val="subSup"/>
    <m:naryLim m:val="undOvr"/>
  </m:mathPr>
  <w:themeFontLang w:val="pt-BR"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D2E2BF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D262C"/>
  </w:style>
  <w:style w:type="paragraph" w:styleId="Heading1">
    <w:name w:val="heading 1"/>
    <w:basedOn w:val="Normal"/>
    <w:next w:val="Normal"/>
    <w:link w:val="Heading1Char"/>
    <w:uiPriority w:val="9"/>
    <w:qFormat/>
    <w:rsid w:val="00FD262C"/>
    <w:pPr>
      <w:keepNext/>
      <w:keepLines/>
      <w:pBdr>
        <w:bottom w:val="single" w:sz="4" w:space="1" w:color="595959" w:themeColor="text1" w:themeTint="A6"/>
      </w:pBdr>
      <w:spacing w:before="360"/>
      <w:outlineLvl w:val="0"/>
    </w:pPr>
    <w:rPr>
      <w:rFonts w:asciiTheme="majorHAnsi" w:eastAsiaTheme="majorEastAsia" w:hAnsiTheme="majorHAnsi" w:cstheme="majorBidi"/>
      <w:b/>
      <w:bCs/>
      <w:smallCaps/>
      <w:sz w:val="36"/>
      <w:szCs w:val="36"/>
    </w:rPr>
  </w:style>
  <w:style w:type="paragraph" w:styleId="Heading2">
    <w:name w:val="heading 2"/>
    <w:basedOn w:val="Normal"/>
    <w:next w:val="Normal"/>
    <w:link w:val="Heading2Char"/>
    <w:autoRedefine/>
    <w:uiPriority w:val="9"/>
    <w:unhideWhenUsed/>
    <w:qFormat/>
    <w:rsid w:val="00FF618E"/>
    <w:pPr>
      <w:keepNext/>
      <w:keepLines/>
      <w:spacing w:before="360" w:after="0"/>
      <w:outlineLvl w:val="1"/>
    </w:pPr>
    <w:rPr>
      <w:rFonts w:asciiTheme="majorHAnsi" w:eastAsiaTheme="majorEastAsia" w:hAnsiTheme="majorHAnsi" w:cstheme="majorBidi"/>
      <w:b/>
      <w:bCs/>
      <w:smallCaps/>
      <w:sz w:val="36"/>
      <w:szCs w:val="28"/>
    </w:rPr>
  </w:style>
  <w:style w:type="paragraph" w:styleId="Heading3">
    <w:name w:val="heading 3"/>
    <w:basedOn w:val="Normal"/>
    <w:next w:val="Normal"/>
    <w:link w:val="Heading3Char"/>
    <w:autoRedefine/>
    <w:uiPriority w:val="9"/>
    <w:unhideWhenUsed/>
    <w:qFormat/>
    <w:rsid w:val="005F3EA4"/>
    <w:pPr>
      <w:keepNext/>
      <w:keepLines/>
      <w:spacing w:before="200" w:after="0"/>
      <w:outlineLvl w:val="2"/>
    </w:pPr>
    <w:rPr>
      <w:rFonts w:eastAsiaTheme="majorEastAsia" w:cstheme="majorBidi"/>
      <w:b/>
      <w:bCs/>
    </w:rPr>
  </w:style>
  <w:style w:type="paragraph" w:styleId="Heading4">
    <w:name w:val="heading 4"/>
    <w:basedOn w:val="Normal"/>
    <w:next w:val="Normal"/>
    <w:link w:val="Heading4Char"/>
    <w:uiPriority w:val="9"/>
    <w:semiHidden/>
    <w:unhideWhenUsed/>
    <w:qFormat/>
    <w:rsid w:val="00FD262C"/>
    <w:pPr>
      <w:keepNext/>
      <w:keepLines/>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semiHidden/>
    <w:unhideWhenUsed/>
    <w:qFormat/>
    <w:rsid w:val="00FD262C"/>
    <w:pPr>
      <w:keepNext/>
      <w:keepLines/>
      <w:spacing w:before="200" w:after="0"/>
      <w:outlineLvl w:val="4"/>
    </w:pPr>
    <w:rPr>
      <w:rFonts w:asciiTheme="majorHAnsi" w:eastAsiaTheme="majorEastAsia" w:hAnsiTheme="majorHAnsi" w:cstheme="majorBidi"/>
      <w:color w:val="404040" w:themeColor="text1" w:themeTint="BF"/>
    </w:rPr>
  </w:style>
  <w:style w:type="paragraph" w:styleId="Heading6">
    <w:name w:val="heading 6"/>
    <w:basedOn w:val="Normal"/>
    <w:next w:val="Normal"/>
    <w:link w:val="Heading6Char"/>
    <w:uiPriority w:val="9"/>
    <w:semiHidden/>
    <w:unhideWhenUsed/>
    <w:qFormat/>
    <w:rsid w:val="00FD262C"/>
    <w:pPr>
      <w:keepNext/>
      <w:keepLines/>
      <w:spacing w:before="200" w:after="0"/>
      <w:outlineLvl w:val="5"/>
    </w:pPr>
    <w:rPr>
      <w:rFonts w:asciiTheme="majorHAnsi" w:eastAsiaTheme="majorEastAsia" w:hAnsiTheme="majorHAnsi" w:cstheme="majorBidi"/>
      <w:i/>
      <w:iCs/>
      <w:color w:val="404040" w:themeColor="text1" w:themeTint="BF"/>
    </w:rPr>
  </w:style>
  <w:style w:type="paragraph" w:styleId="Heading7">
    <w:name w:val="heading 7"/>
    <w:basedOn w:val="Normal"/>
    <w:next w:val="Normal"/>
    <w:link w:val="Heading7Char"/>
    <w:uiPriority w:val="9"/>
    <w:semiHidden/>
    <w:unhideWhenUsed/>
    <w:qFormat/>
    <w:rsid w:val="00FD262C"/>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D262C"/>
    <w:pPr>
      <w:keepNext/>
      <w:keepLines/>
      <w:spacing w:before="200" w:after="0"/>
      <w:outlineLvl w:val="7"/>
    </w:pPr>
    <w:rPr>
      <w:rFonts w:asciiTheme="majorHAnsi" w:eastAsiaTheme="majorEastAsia" w:hAnsiTheme="majorHAnsi" w:cstheme="majorBidi"/>
      <w:color w:val="404040" w:themeColor="text1" w:themeTint="BF"/>
      <w:szCs w:val="20"/>
    </w:rPr>
  </w:style>
  <w:style w:type="paragraph" w:styleId="Heading9">
    <w:name w:val="heading 9"/>
    <w:basedOn w:val="Normal"/>
    <w:next w:val="Normal"/>
    <w:link w:val="Heading9Char"/>
    <w:uiPriority w:val="9"/>
    <w:semiHidden/>
    <w:unhideWhenUsed/>
    <w:qFormat/>
    <w:rsid w:val="00FD262C"/>
    <w:pPr>
      <w:keepNext/>
      <w:keepLines/>
      <w:spacing w:before="200" w:after="0"/>
      <w:outlineLvl w:val="8"/>
    </w:pPr>
    <w:rPr>
      <w:rFonts w:asciiTheme="majorHAnsi" w:eastAsiaTheme="majorEastAsia" w:hAnsiTheme="majorHAnsi" w:cstheme="majorBidi"/>
      <w:i/>
      <w:iCs/>
      <w:color w:val="404040" w:themeColor="text1" w:themeTint="BF"/>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FD262C"/>
    <w:pPr>
      <w:spacing w:after="0" w:line="240" w:lineRule="auto"/>
      <w:contextualSpacing/>
    </w:pPr>
    <w:rPr>
      <w:rFonts w:asciiTheme="majorHAnsi" w:eastAsiaTheme="majorEastAsia" w:hAnsiTheme="majorHAnsi" w:cstheme="majorBidi"/>
      <w:sz w:val="56"/>
      <w:szCs w:val="56"/>
    </w:rPr>
  </w:style>
  <w:style w:type="character" w:customStyle="1" w:styleId="TitleChar">
    <w:name w:val="Title Char"/>
    <w:basedOn w:val="DefaultParagraphFont"/>
    <w:link w:val="Title"/>
    <w:uiPriority w:val="1"/>
    <w:rsid w:val="00FD262C"/>
    <w:rPr>
      <w:rFonts w:asciiTheme="majorHAnsi" w:eastAsiaTheme="majorEastAsia" w:hAnsiTheme="majorHAnsi" w:cstheme="majorBidi"/>
      <w:sz w:val="56"/>
      <w:szCs w:val="56"/>
    </w:rPr>
  </w:style>
  <w:style w:type="paragraph" w:styleId="Header">
    <w:name w:val="header"/>
    <w:basedOn w:val="Normal"/>
    <w:link w:val="HeaderChar"/>
    <w:uiPriority w:val="99"/>
    <w:unhideWhenUsed/>
    <w:rsid w:val="00855982"/>
    <w:pPr>
      <w:spacing w:after="0" w:line="240" w:lineRule="auto"/>
    </w:pPr>
  </w:style>
  <w:style w:type="character" w:customStyle="1" w:styleId="HeaderChar">
    <w:name w:val="Header Char"/>
    <w:basedOn w:val="DefaultParagraphFont"/>
    <w:link w:val="Header"/>
    <w:uiPriority w:val="99"/>
    <w:rsid w:val="00855982"/>
  </w:style>
  <w:style w:type="character" w:customStyle="1" w:styleId="Heading1Char">
    <w:name w:val="Heading 1 Char"/>
    <w:basedOn w:val="DefaultParagraphFont"/>
    <w:link w:val="Heading1"/>
    <w:uiPriority w:val="9"/>
    <w:rsid w:val="00FD262C"/>
    <w:rPr>
      <w:rFonts w:asciiTheme="majorHAnsi" w:eastAsiaTheme="majorEastAsia" w:hAnsiTheme="majorHAnsi" w:cstheme="majorBidi"/>
      <w:b/>
      <w:bCs/>
      <w:smallCaps/>
      <w:sz w:val="36"/>
      <w:szCs w:val="36"/>
    </w:rPr>
  </w:style>
  <w:style w:type="character" w:customStyle="1" w:styleId="Heading2Char">
    <w:name w:val="Heading 2 Char"/>
    <w:basedOn w:val="DefaultParagraphFont"/>
    <w:link w:val="Heading2"/>
    <w:uiPriority w:val="9"/>
    <w:rsid w:val="00FF618E"/>
    <w:rPr>
      <w:rFonts w:asciiTheme="majorHAnsi" w:eastAsiaTheme="majorEastAsia" w:hAnsiTheme="majorHAnsi" w:cstheme="majorBidi"/>
      <w:b/>
      <w:bCs/>
      <w:smallCaps/>
      <w:sz w:val="36"/>
      <w:szCs w:val="28"/>
    </w:rPr>
  </w:style>
  <w:style w:type="character" w:customStyle="1" w:styleId="Heading3Char">
    <w:name w:val="Heading 3 Char"/>
    <w:basedOn w:val="DefaultParagraphFont"/>
    <w:link w:val="Heading3"/>
    <w:uiPriority w:val="9"/>
    <w:rsid w:val="005F3EA4"/>
    <w:rPr>
      <w:rFonts w:eastAsiaTheme="majorEastAsia" w:cstheme="majorBidi"/>
      <w:b/>
      <w:bCs/>
    </w:rPr>
  </w:style>
  <w:style w:type="character" w:customStyle="1" w:styleId="Heading4Char">
    <w:name w:val="Heading 4 Char"/>
    <w:basedOn w:val="DefaultParagraphFont"/>
    <w:link w:val="Heading4"/>
    <w:uiPriority w:val="9"/>
    <w:semiHidden/>
    <w:rsid w:val="00FD262C"/>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9"/>
    <w:semiHidden/>
    <w:rsid w:val="00FD262C"/>
    <w:rPr>
      <w:rFonts w:asciiTheme="majorHAnsi" w:eastAsiaTheme="majorEastAsia" w:hAnsiTheme="majorHAnsi" w:cstheme="majorBidi"/>
      <w:color w:val="404040" w:themeColor="text1" w:themeTint="BF"/>
    </w:rPr>
  </w:style>
  <w:style w:type="character" w:customStyle="1" w:styleId="Heading6Char">
    <w:name w:val="Heading 6 Char"/>
    <w:basedOn w:val="DefaultParagraphFont"/>
    <w:link w:val="Heading6"/>
    <w:uiPriority w:val="9"/>
    <w:semiHidden/>
    <w:rsid w:val="00FD262C"/>
    <w:rPr>
      <w:rFonts w:asciiTheme="majorHAnsi" w:eastAsiaTheme="majorEastAsia" w:hAnsiTheme="majorHAnsi" w:cstheme="majorBidi"/>
      <w:i/>
      <w:iCs/>
      <w:color w:val="404040" w:themeColor="text1" w:themeTint="BF"/>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1D4362"/>
    <w:rPr>
      <w:rFonts w:asciiTheme="majorHAnsi" w:eastAsiaTheme="majorEastAsia" w:hAnsiTheme="majorHAnsi" w:cstheme="majorBidi"/>
      <w:color w:val="404040" w:themeColor="text1" w:themeTint="BF"/>
      <w:szCs w:val="20"/>
    </w:rPr>
  </w:style>
  <w:style w:type="character" w:customStyle="1" w:styleId="Heading9Char">
    <w:name w:val="Heading 9 Char"/>
    <w:basedOn w:val="DefaultParagraphFont"/>
    <w:link w:val="Heading9"/>
    <w:uiPriority w:val="9"/>
    <w:semiHidden/>
    <w:rsid w:val="001D4362"/>
    <w:rPr>
      <w:rFonts w:asciiTheme="majorHAnsi" w:eastAsiaTheme="majorEastAsia" w:hAnsiTheme="majorHAnsi" w:cstheme="majorBidi"/>
      <w:i/>
      <w:iCs/>
      <w:color w:val="404040" w:themeColor="text1" w:themeTint="BF"/>
      <w:szCs w:val="20"/>
    </w:rPr>
  </w:style>
  <w:style w:type="paragraph" w:styleId="Footer">
    <w:name w:val="footer"/>
    <w:basedOn w:val="Normal"/>
    <w:link w:val="FooterChar"/>
    <w:uiPriority w:val="99"/>
    <w:unhideWhenUsed/>
    <w:rsid w:val="00855982"/>
    <w:pPr>
      <w:spacing w:after="0" w:line="240" w:lineRule="auto"/>
    </w:pPr>
  </w:style>
  <w:style w:type="character" w:customStyle="1" w:styleId="FooterChar">
    <w:name w:val="Footer Char"/>
    <w:basedOn w:val="DefaultParagraphFont"/>
    <w:link w:val="Footer"/>
    <w:uiPriority w:val="99"/>
    <w:rsid w:val="00855982"/>
  </w:style>
  <w:style w:type="paragraph" w:styleId="Caption">
    <w:name w:val="caption"/>
    <w:basedOn w:val="Normal"/>
    <w:next w:val="Normal"/>
    <w:uiPriority w:val="35"/>
    <w:semiHidden/>
    <w:unhideWhenUsed/>
    <w:qFormat/>
    <w:rsid w:val="001D4362"/>
    <w:pPr>
      <w:spacing w:after="200" w:line="240" w:lineRule="auto"/>
    </w:pPr>
    <w:rPr>
      <w:i/>
      <w:iCs/>
      <w:color w:val="323232" w:themeColor="text2"/>
      <w:szCs w:val="18"/>
    </w:rPr>
  </w:style>
  <w:style w:type="paragraph" w:styleId="TOCHeading">
    <w:name w:val="TOC Heading"/>
    <w:basedOn w:val="Heading1"/>
    <w:next w:val="Normal"/>
    <w:uiPriority w:val="39"/>
    <w:semiHidden/>
    <w:unhideWhenUsed/>
    <w:qFormat/>
    <w:pPr>
      <w:outlineLvl w:val="9"/>
    </w:pPr>
  </w:style>
  <w:style w:type="paragraph" w:styleId="BalloonText">
    <w:name w:val="Balloon Text"/>
    <w:basedOn w:val="Normal"/>
    <w:link w:val="BalloonTextChar"/>
    <w:uiPriority w:val="99"/>
    <w:semiHidden/>
    <w:unhideWhenUsed/>
    <w:rsid w:val="001D4362"/>
    <w:pPr>
      <w:spacing w:after="0" w:line="240" w:lineRule="auto"/>
    </w:pPr>
    <w:rPr>
      <w:rFonts w:ascii="Segoe UI" w:hAnsi="Segoe UI" w:cs="Segoe UI"/>
      <w:szCs w:val="18"/>
    </w:rPr>
  </w:style>
  <w:style w:type="character" w:customStyle="1" w:styleId="BalloonTextChar">
    <w:name w:val="Balloon Text Char"/>
    <w:basedOn w:val="DefaultParagraphFont"/>
    <w:link w:val="BalloonText"/>
    <w:uiPriority w:val="99"/>
    <w:semiHidden/>
    <w:rsid w:val="001D4362"/>
    <w:rPr>
      <w:rFonts w:ascii="Segoe UI" w:hAnsi="Segoe UI" w:cs="Segoe UI"/>
      <w:szCs w:val="18"/>
    </w:rPr>
  </w:style>
  <w:style w:type="paragraph" w:styleId="BodyText3">
    <w:name w:val="Body Text 3"/>
    <w:basedOn w:val="Normal"/>
    <w:link w:val="BodyText3Char"/>
    <w:uiPriority w:val="99"/>
    <w:semiHidden/>
    <w:unhideWhenUsed/>
    <w:rsid w:val="001D4362"/>
    <w:pPr>
      <w:spacing w:after="120"/>
    </w:pPr>
    <w:rPr>
      <w:szCs w:val="16"/>
    </w:rPr>
  </w:style>
  <w:style w:type="character" w:customStyle="1" w:styleId="BodyText3Char">
    <w:name w:val="Body Text 3 Char"/>
    <w:basedOn w:val="DefaultParagraphFont"/>
    <w:link w:val="BodyText3"/>
    <w:uiPriority w:val="99"/>
    <w:semiHidden/>
    <w:rsid w:val="001D4362"/>
    <w:rPr>
      <w:szCs w:val="16"/>
    </w:rPr>
  </w:style>
  <w:style w:type="paragraph" w:styleId="BodyTextIndent3">
    <w:name w:val="Body Text Indent 3"/>
    <w:basedOn w:val="Normal"/>
    <w:link w:val="BodyTextIndent3Char"/>
    <w:uiPriority w:val="99"/>
    <w:semiHidden/>
    <w:unhideWhenUsed/>
    <w:rsid w:val="001D4362"/>
    <w:pPr>
      <w:spacing w:after="120"/>
      <w:ind w:left="360"/>
    </w:pPr>
    <w:rPr>
      <w:szCs w:val="16"/>
    </w:rPr>
  </w:style>
  <w:style w:type="character" w:customStyle="1" w:styleId="BodyTextIndent3Char">
    <w:name w:val="Body Text Indent 3 Char"/>
    <w:basedOn w:val="DefaultParagraphFont"/>
    <w:link w:val="BodyTextIndent3"/>
    <w:uiPriority w:val="99"/>
    <w:semiHidden/>
    <w:rsid w:val="001D4362"/>
    <w:rPr>
      <w:szCs w:val="16"/>
    </w:rPr>
  </w:style>
  <w:style w:type="character" w:styleId="CommentReference">
    <w:name w:val="annotation reference"/>
    <w:basedOn w:val="DefaultParagraphFont"/>
    <w:uiPriority w:val="99"/>
    <w:semiHidden/>
    <w:unhideWhenUsed/>
    <w:rsid w:val="001D4362"/>
    <w:rPr>
      <w:sz w:val="22"/>
      <w:szCs w:val="16"/>
    </w:rPr>
  </w:style>
  <w:style w:type="paragraph" w:styleId="CommentText">
    <w:name w:val="annotation text"/>
    <w:basedOn w:val="Normal"/>
    <w:link w:val="CommentTextChar"/>
    <w:uiPriority w:val="99"/>
    <w:semiHidden/>
    <w:unhideWhenUsed/>
    <w:rsid w:val="001D4362"/>
    <w:pPr>
      <w:spacing w:line="240" w:lineRule="auto"/>
    </w:pPr>
    <w:rPr>
      <w:szCs w:val="20"/>
    </w:rPr>
  </w:style>
  <w:style w:type="character" w:customStyle="1" w:styleId="CommentTextChar">
    <w:name w:val="Comment Text Char"/>
    <w:basedOn w:val="DefaultParagraphFont"/>
    <w:link w:val="CommentText"/>
    <w:uiPriority w:val="99"/>
    <w:semiHidden/>
    <w:rsid w:val="001D4362"/>
    <w:rPr>
      <w:szCs w:val="20"/>
    </w:rPr>
  </w:style>
  <w:style w:type="paragraph" w:styleId="CommentSubject">
    <w:name w:val="annotation subject"/>
    <w:basedOn w:val="CommentText"/>
    <w:next w:val="CommentText"/>
    <w:link w:val="CommentSubjectChar"/>
    <w:uiPriority w:val="99"/>
    <w:semiHidden/>
    <w:unhideWhenUsed/>
    <w:rsid w:val="001D4362"/>
    <w:rPr>
      <w:b/>
      <w:bCs/>
    </w:rPr>
  </w:style>
  <w:style w:type="character" w:customStyle="1" w:styleId="CommentSubjectChar">
    <w:name w:val="Comment Subject Char"/>
    <w:basedOn w:val="CommentTextChar"/>
    <w:link w:val="CommentSubject"/>
    <w:uiPriority w:val="99"/>
    <w:semiHidden/>
    <w:rsid w:val="001D4362"/>
    <w:rPr>
      <w:b/>
      <w:bCs/>
      <w:szCs w:val="20"/>
    </w:rPr>
  </w:style>
  <w:style w:type="paragraph" w:styleId="DocumentMap">
    <w:name w:val="Document Map"/>
    <w:basedOn w:val="Normal"/>
    <w:link w:val="DocumentMapChar"/>
    <w:uiPriority w:val="99"/>
    <w:semiHidden/>
    <w:unhideWhenUsed/>
    <w:rsid w:val="001D4362"/>
    <w:pPr>
      <w:spacing w:after="0" w:line="240" w:lineRule="auto"/>
    </w:pPr>
    <w:rPr>
      <w:rFonts w:ascii="Segoe UI" w:hAnsi="Segoe UI" w:cs="Segoe UI"/>
      <w:szCs w:val="16"/>
    </w:rPr>
  </w:style>
  <w:style w:type="character" w:customStyle="1" w:styleId="DocumentMapChar">
    <w:name w:val="Document Map Char"/>
    <w:basedOn w:val="DefaultParagraphFont"/>
    <w:link w:val="DocumentMap"/>
    <w:uiPriority w:val="99"/>
    <w:semiHidden/>
    <w:rsid w:val="001D4362"/>
    <w:rPr>
      <w:rFonts w:ascii="Segoe UI" w:hAnsi="Segoe UI" w:cs="Segoe UI"/>
      <w:szCs w:val="16"/>
    </w:rPr>
  </w:style>
  <w:style w:type="paragraph" w:styleId="EndnoteText">
    <w:name w:val="endnote text"/>
    <w:basedOn w:val="Normal"/>
    <w:link w:val="EndnoteTextChar"/>
    <w:uiPriority w:val="99"/>
    <w:semiHidden/>
    <w:unhideWhenUsed/>
    <w:rsid w:val="001D4362"/>
    <w:pPr>
      <w:spacing w:after="0" w:line="240" w:lineRule="auto"/>
    </w:pPr>
    <w:rPr>
      <w:szCs w:val="20"/>
    </w:rPr>
  </w:style>
  <w:style w:type="character" w:customStyle="1" w:styleId="EndnoteTextChar">
    <w:name w:val="Endnote Text Char"/>
    <w:basedOn w:val="DefaultParagraphFont"/>
    <w:link w:val="EndnoteText"/>
    <w:uiPriority w:val="99"/>
    <w:semiHidden/>
    <w:rsid w:val="001D4362"/>
    <w:rPr>
      <w:szCs w:val="20"/>
    </w:rPr>
  </w:style>
  <w:style w:type="paragraph" w:styleId="EnvelopeReturn">
    <w:name w:val="envelope return"/>
    <w:basedOn w:val="Normal"/>
    <w:uiPriority w:val="99"/>
    <w:semiHidden/>
    <w:unhideWhenUsed/>
    <w:rsid w:val="001D4362"/>
    <w:pPr>
      <w:spacing w:after="0" w:line="240" w:lineRule="auto"/>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1D4362"/>
    <w:pPr>
      <w:spacing w:after="0" w:line="240" w:lineRule="auto"/>
    </w:pPr>
    <w:rPr>
      <w:szCs w:val="20"/>
    </w:rPr>
  </w:style>
  <w:style w:type="character" w:customStyle="1" w:styleId="FootnoteTextChar">
    <w:name w:val="Footnote Text Char"/>
    <w:basedOn w:val="DefaultParagraphFont"/>
    <w:link w:val="FootnoteText"/>
    <w:uiPriority w:val="99"/>
    <w:semiHidden/>
    <w:rsid w:val="001D4362"/>
    <w:rPr>
      <w:szCs w:val="20"/>
    </w:rPr>
  </w:style>
  <w:style w:type="character" w:styleId="HTMLCode">
    <w:name w:val="HTML Code"/>
    <w:basedOn w:val="DefaultParagraphFont"/>
    <w:uiPriority w:val="99"/>
    <w:semiHidden/>
    <w:unhideWhenUsed/>
    <w:rsid w:val="001D4362"/>
    <w:rPr>
      <w:rFonts w:ascii="Consolas" w:hAnsi="Consolas"/>
      <w:sz w:val="22"/>
      <w:szCs w:val="20"/>
    </w:rPr>
  </w:style>
  <w:style w:type="character" w:styleId="HTMLKeyboard">
    <w:name w:val="HTML Keyboard"/>
    <w:basedOn w:val="DefaultParagraphFont"/>
    <w:uiPriority w:val="99"/>
    <w:semiHidden/>
    <w:unhideWhenUsed/>
    <w:rsid w:val="001D4362"/>
    <w:rPr>
      <w:rFonts w:ascii="Consolas" w:hAnsi="Consolas"/>
      <w:sz w:val="22"/>
      <w:szCs w:val="20"/>
    </w:rPr>
  </w:style>
  <w:style w:type="paragraph" w:styleId="HTMLPreformatted">
    <w:name w:val="HTML Preformatted"/>
    <w:basedOn w:val="Normal"/>
    <w:link w:val="HTMLPreformattedChar"/>
    <w:uiPriority w:val="99"/>
    <w:semiHidden/>
    <w:unhideWhenUsed/>
    <w:rsid w:val="001D4362"/>
    <w:pPr>
      <w:spacing w:after="0" w:line="240" w:lineRule="auto"/>
    </w:pPr>
    <w:rPr>
      <w:rFonts w:ascii="Consolas" w:hAnsi="Consolas"/>
      <w:szCs w:val="20"/>
    </w:rPr>
  </w:style>
  <w:style w:type="character" w:customStyle="1" w:styleId="HTMLPreformattedChar">
    <w:name w:val="HTML Preformatted Char"/>
    <w:basedOn w:val="DefaultParagraphFont"/>
    <w:link w:val="HTMLPreformatted"/>
    <w:uiPriority w:val="99"/>
    <w:semiHidden/>
    <w:rsid w:val="001D4362"/>
    <w:rPr>
      <w:rFonts w:ascii="Consolas" w:hAnsi="Consolas"/>
      <w:szCs w:val="20"/>
    </w:rPr>
  </w:style>
  <w:style w:type="character" w:styleId="HTMLTypewriter">
    <w:name w:val="HTML Typewriter"/>
    <w:basedOn w:val="DefaultParagraphFont"/>
    <w:uiPriority w:val="99"/>
    <w:semiHidden/>
    <w:unhideWhenUsed/>
    <w:rsid w:val="001D4362"/>
    <w:rPr>
      <w:rFonts w:ascii="Consolas" w:hAnsi="Consolas"/>
      <w:sz w:val="22"/>
      <w:szCs w:val="20"/>
    </w:rPr>
  </w:style>
  <w:style w:type="paragraph" w:styleId="MacroText">
    <w:name w:val="macro"/>
    <w:link w:val="MacroTextChar"/>
    <w:uiPriority w:val="99"/>
    <w:semiHidden/>
    <w:unhideWhenUsed/>
    <w:rsid w:val="001D4362"/>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1D4362"/>
    <w:rPr>
      <w:rFonts w:ascii="Consolas" w:hAnsi="Consolas"/>
      <w:szCs w:val="20"/>
    </w:rPr>
  </w:style>
  <w:style w:type="paragraph" w:styleId="PlainText">
    <w:name w:val="Plain Text"/>
    <w:basedOn w:val="Normal"/>
    <w:link w:val="PlainTextChar"/>
    <w:uiPriority w:val="99"/>
    <w:semiHidden/>
    <w:unhideWhenUsed/>
    <w:rsid w:val="001D4362"/>
    <w:pPr>
      <w:spacing w:after="0" w:line="240" w:lineRule="auto"/>
    </w:pPr>
    <w:rPr>
      <w:rFonts w:ascii="Consolas" w:hAnsi="Consolas"/>
      <w:szCs w:val="21"/>
    </w:rPr>
  </w:style>
  <w:style w:type="character" w:customStyle="1" w:styleId="PlainTextChar">
    <w:name w:val="Plain Text Char"/>
    <w:basedOn w:val="DefaultParagraphFont"/>
    <w:link w:val="PlainText"/>
    <w:uiPriority w:val="99"/>
    <w:semiHidden/>
    <w:rsid w:val="001D4362"/>
    <w:rPr>
      <w:rFonts w:ascii="Consolas" w:hAnsi="Consolas"/>
      <w:szCs w:val="21"/>
    </w:rPr>
  </w:style>
  <w:style w:type="paragraph" w:styleId="BlockText">
    <w:name w:val="Block Text"/>
    <w:basedOn w:val="Normal"/>
    <w:uiPriority w:val="99"/>
    <w:semiHidden/>
    <w:unhideWhenUsed/>
    <w:rsid w:val="00FD262C"/>
    <w:pPr>
      <w:pBdr>
        <w:top w:val="single" w:sz="2" w:space="10" w:color="783F04" w:themeColor="accent1" w:themeShade="80" w:shadow="1"/>
        <w:left w:val="single" w:sz="2" w:space="10" w:color="783F04" w:themeColor="accent1" w:themeShade="80" w:shadow="1"/>
        <w:bottom w:val="single" w:sz="2" w:space="10" w:color="783F04" w:themeColor="accent1" w:themeShade="80" w:shadow="1"/>
        <w:right w:val="single" w:sz="2" w:space="10" w:color="783F04" w:themeColor="accent1" w:themeShade="80" w:shadow="1"/>
      </w:pBdr>
      <w:ind w:left="1152" w:right="1152"/>
    </w:pPr>
    <w:rPr>
      <w:i/>
      <w:iCs/>
      <w:color w:val="783F04" w:themeColor="accent1" w:themeShade="80"/>
    </w:rPr>
  </w:style>
  <w:style w:type="character" w:styleId="FollowedHyperlink">
    <w:name w:val="FollowedHyperlink"/>
    <w:basedOn w:val="DefaultParagraphFont"/>
    <w:uiPriority w:val="99"/>
    <w:semiHidden/>
    <w:unhideWhenUsed/>
    <w:rsid w:val="007833A7"/>
    <w:rPr>
      <w:color w:val="783F04" w:themeColor="accent1" w:themeShade="80"/>
      <w:u w:val="single"/>
    </w:rPr>
  </w:style>
  <w:style w:type="character" w:styleId="Hyperlink">
    <w:name w:val="Hyperlink"/>
    <w:basedOn w:val="DefaultParagraphFont"/>
    <w:uiPriority w:val="99"/>
    <w:unhideWhenUsed/>
    <w:rsid w:val="007833A7"/>
    <w:rPr>
      <w:color w:val="3A6331" w:themeColor="accent4" w:themeShade="BF"/>
      <w:u w:val="single"/>
    </w:rPr>
  </w:style>
  <w:style w:type="character" w:styleId="PlaceholderText">
    <w:name w:val="Placeholder Text"/>
    <w:basedOn w:val="DefaultParagraphFont"/>
    <w:uiPriority w:val="99"/>
    <w:semiHidden/>
    <w:rsid w:val="007833A7"/>
    <w:rPr>
      <w:color w:val="595959" w:themeColor="text1" w:themeTint="A6"/>
    </w:rPr>
  </w:style>
  <w:style w:type="character" w:styleId="IntenseEmphasis">
    <w:name w:val="Intense Emphasis"/>
    <w:basedOn w:val="DefaultParagraphFont"/>
    <w:uiPriority w:val="21"/>
    <w:semiHidden/>
    <w:unhideWhenUsed/>
    <w:qFormat/>
    <w:rsid w:val="00FD262C"/>
    <w:rPr>
      <w:i/>
      <w:iCs/>
      <w:color w:val="B35E06" w:themeColor="accent1" w:themeShade="BF"/>
    </w:rPr>
  </w:style>
  <w:style w:type="paragraph" w:styleId="IntenseQuote">
    <w:name w:val="Intense Quote"/>
    <w:basedOn w:val="Normal"/>
    <w:next w:val="Normal"/>
    <w:link w:val="IntenseQuoteChar"/>
    <w:uiPriority w:val="30"/>
    <w:semiHidden/>
    <w:unhideWhenUsed/>
    <w:rsid w:val="00FD262C"/>
    <w:pPr>
      <w:pBdr>
        <w:top w:val="single" w:sz="4" w:space="10" w:color="B35E06" w:themeColor="accent1" w:themeShade="BF"/>
        <w:bottom w:val="single" w:sz="4" w:space="10" w:color="B35E06" w:themeColor="accent1" w:themeShade="BF"/>
      </w:pBdr>
      <w:spacing w:before="360" w:after="360"/>
      <w:ind w:left="864" w:right="864"/>
      <w:jc w:val="center"/>
    </w:pPr>
    <w:rPr>
      <w:i/>
      <w:iCs/>
      <w:color w:val="B35E06" w:themeColor="accent1" w:themeShade="BF"/>
    </w:rPr>
  </w:style>
  <w:style w:type="character" w:customStyle="1" w:styleId="IntenseQuoteChar">
    <w:name w:val="Intense Quote Char"/>
    <w:basedOn w:val="DefaultParagraphFont"/>
    <w:link w:val="IntenseQuote"/>
    <w:uiPriority w:val="30"/>
    <w:semiHidden/>
    <w:rsid w:val="00FD262C"/>
    <w:rPr>
      <w:i/>
      <w:iCs/>
      <w:color w:val="B35E06" w:themeColor="accent1" w:themeShade="BF"/>
    </w:rPr>
  </w:style>
  <w:style w:type="character" w:styleId="IntenseReference">
    <w:name w:val="Intense Reference"/>
    <w:basedOn w:val="DefaultParagraphFont"/>
    <w:uiPriority w:val="32"/>
    <w:semiHidden/>
    <w:unhideWhenUsed/>
    <w:qFormat/>
    <w:rsid w:val="00FD262C"/>
    <w:rPr>
      <w:b/>
      <w:bCs/>
      <w:caps w:val="0"/>
      <w:smallCaps/>
      <w:color w:val="B35E06" w:themeColor="accent1" w:themeShade="BF"/>
      <w:spacing w:val="5"/>
    </w:rPr>
  </w:style>
  <w:style w:type="character" w:styleId="FootnoteReference">
    <w:name w:val="footnote reference"/>
    <w:basedOn w:val="DefaultParagraphFont"/>
    <w:uiPriority w:val="99"/>
    <w:semiHidden/>
    <w:unhideWhenUsed/>
    <w:rsid w:val="00F31962"/>
    <w:rPr>
      <w:vertAlign w:val="superscript"/>
    </w:rPr>
  </w:style>
  <w:style w:type="paragraph" w:styleId="ListParagraph">
    <w:name w:val="List Paragraph"/>
    <w:basedOn w:val="Normal"/>
    <w:uiPriority w:val="34"/>
    <w:unhideWhenUsed/>
    <w:qFormat/>
    <w:rsid w:val="00D16B9B"/>
    <w:pPr>
      <w:ind w:left="720"/>
      <w:contextualSpacing/>
    </w:pPr>
  </w:style>
  <w:style w:type="character" w:customStyle="1" w:styleId="UnresolvedMention">
    <w:name w:val="Unresolved Mention"/>
    <w:basedOn w:val="DefaultParagraphFont"/>
    <w:uiPriority w:val="99"/>
    <w:semiHidden/>
    <w:unhideWhenUsed/>
    <w:rsid w:val="007A43C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medicaid.gov/Federal-Policy-Guidance/Downloads/smd21004.pd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ptiernan@hcbssolutions.com"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tmp"/><Relationship Id="rId4" Type="http://schemas.openxmlformats.org/officeDocument/2006/relationships/settings" Target="settings.xml"/><Relationship Id="rId9" Type="http://schemas.openxmlformats.org/officeDocument/2006/relationships/image" Target="media/image2.tmp"/><Relationship Id="rId14" Type="http://schemas.openxmlformats.org/officeDocument/2006/relationships/hyperlink" Target="https://www.medicaid.gov/resources-for-states/spa-and-1915-waiver-processing/1915-waiver-processing-tools-for-states" TargetMode="External"/></Relationships>
</file>

<file path=word/theme/theme1.xml><?xml version="1.0" encoding="utf-8"?>
<a:theme xmlns:a="http://schemas.openxmlformats.org/drawingml/2006/main" name="Office Theme">
  <a:themeElements>
    <a:clrScheme name="Aspect">
      <a:dk1>
        <a:sysClr val="windowText" lastClr="000000"/>
      </a:dk1>
      <a:lt1>
        <a:sysClr val="window" lastClr="FFFFFF"/>
      </a:lt1>
      <a:dk2>
        <a:srgbClr val="323232"/>
      </a:dk2>
      <a:lt2>
        <a:srgbClr val="E3DED1"/>
      </a:lt2>
      <a:accent1>
        <a:srgbClr val="F07F09"/>
      </a:accent1>
      <a:accent2>
        <a:srgbClr val="9F2936"/>
      </a:accent2>
      <a:accent3>
        <a:srgbClr val="1B587C"/>
      </a:accent3>
      <a:accent4>
        <a:srgbClr val="4E8542"/>
      </a:accent4>
      <a:accent5>
        <a:srgbClr val="604878"/>
      </a:accent5>
      <a:accent6>
        <a:srgbClr val="C19859"/>
      </a:accent6>
      <a:hlink>
        <a:srgbClr val="6B9F25"/>
      </a:hlink>
      <a:folHlink>
        <a:srgbClr val="B26B0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67C6A9-EBDD-42EA-A166-71529DC278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4131</Words>
  <Characters>23549</Characters>
  <Application>Microsoft Office Word</Application>
  <DocSecurity>0</DocSecurity>
  <Lines>196</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2026-03-25T20:43:00Z</dcterms:created>
  <dcterms:modified xsi:type="dcterms:W3CDTF">2026-03-25T21:06:00Z</dcterms:modified>
  <cp:contentStatus/>
</cp:coreProperties>
</file>