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2E57B" w14:textId="2F51C207" w:rsidR="00E47FCA" w:rsidRDefault="00E47FCA" w:rsidP="00E47FCA">
      <w:pPr>
        <w:jc w:val="center"/>
        <w:rPr>
          <w:b/>
        </w:rPr>
      </w:pPr>
      <w:r>
        <w:rPr>
          <w:b/>
          <w:noProof/>
        </w:rPr>
        <w:drawing>
          <wp:inline distT="0" distB="0" distL="0" distR="0" wp14:anchorId="391B0D12" wp14:editId="4EF886A2">
            <wp:extent cx="2956560" cy="1109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6560" cy="1109345"/>
                    </a:xfrm>
                    <a:prstGeom prst="rect">
                      <a:avLst/>
                    </a:prstGeom>
                    <a:noFill/>
                  </pic:spPr>
                </pic:pic>
              </a:graphicData>
            </a:graphic>
          </wp:inline>
        </w:drawing>
      </w:r>
    </w:p>
    <w:p w14:paraId="0F39749D" w14:textId="7B8649B6" w:rsidR="00EB7266" w:rsidRPr="00E47FCA" w:rsidRDefault="00E47FCA" w:rsidP="00E47FCA">
      <w:pPr>
        <w:jc w:val="center"/>
        <w:rPr>
          <w:sz w:val="32"/>
          <w:szCs w:val="32"/>
        </w:rPr>
      </w:pPr>
      <w:bookmarkStart w:id="0" w:name="_Hlk65848374"/>
      <w:r w:rsidRPr="00E47FCA">
        <w:rPr>
          <w:b/>
          <w:sz w:val="32"/>
          <w:szCs w:val="32"/>
        </w:rPr>
        <w:t xml:space="preserve">Comments regarding the Renewal of the </w:t>
      </w:r>
      <w:r w:rsidR="00245D66" w:rsidRPr="00E47FCA">
        <w:rPr>
          <w:b/>
          <w:sz w:val="32"/>
          <w:szCs w:val="32"/>
        </w:rPr>
        <w:t>1115 Waiver</w:t>
      </w:r>
    </w:p>
    <w:bookmarkEnd w:id="0"/>
    <w:p w14:paraId="2A3B6747" w14:textId="03F8A537" w:rsidR="00EB7266" w:rsidRDefault="00EB7266">
      <w:r>
        <w:t>Dignity Alliance Massachusetts, a grass-roots coalition of aging and disability service and advocacy organizations and su</w:t>
      </w:r>
      <w:r w:rsidR="00D22BC6">
        <w:t>pporters, is dedicated to securing</w:t>
      </w:r>
      <w:r>
        <w:t xml:space="preserve"> fundamental changes in the provision of long-term services, support, and care.  We, the undersigned organizations and individuals, all members of Dignity Alliance Massachusetts, appreciate the opportunity to comment on the Commonwealth’s 1115 Waiver Renewal.</w:t>
      </w:r>
    </w:p>
    <w:p w14:paraId="43F5EA21" w14:textId="1D0CA565" w:rsidR="00951850" w:rsidRDefault="00ED6F54" w:rsidP="00D6384F">
      <w:r>
        <w:t xml:space="preserve">The negative consequences of providing treatment in nursing facilities were </w:t>
      </w:r>
      <w:r w:rsidR="008B3698">
        <w:t>exposed</w:t>
      </w:r>
      <w:r>
        <w:t xml:space="preserve"> and exacerbate</w:t>
      </w:r>
      <w:r w:rsidR="009279C6">
        <w:t xml:space="preserve">d by the COVID pandemic. </w:t>
      </w:r>
      <w:r w:rsidR="00312719" w:rsidRPr="00312719">
        <w:t> In the first six months of the pandemic, 66% of all COVID-19 related deaths in Massachusetts involved persons in nursing facilities.</w:t>
      </w:r>
      <w:r>
        <w:t xml:space="preserve"> </w:t>
      </w:r>
      <w:r w:rsidR="009F235E">
        <w:t xml:space="preserve"> </w:t>
      </w:r>
      <w:r>
        <w:t>Moreover, residents of Massachusetts who are people of color have been disproportionately represented in the numbe</w:t>
      </w:r>
      <w:r w:rsidR="008B3698">
        <w:t>r of deaths across the state; s</w:t>
      </w:r>
      <w:r>
        <w:t xml:space="preserve">imilar health disparities have been found for residents with limited English proficiency.  </w:t>
      </w:r>
      <w:r w:rsidR="00951850">
        <w:t xml:space="preserve">Despite this tragedy, the Commonwealth’s current 1115 Waiver Renewal application </w:t>
      </w:r>
      <w:r w:rsidR="00547D3E">
        <w:t>fails to</w:t>
      </w:r>
      <w:r w:rsidR="00951850">
        <w:t xml:space="preserve"> include any </w:t>
      </w:r>
      <w:r w:rsidR="005074E2">
        <w:t xml:space="preserve">major </w:t>
      </w:r>
      <w:r w:rsidR="00951850">
        <w:t xml:space="preserve">programs </w:t>
      </w:r>
      <w:r w:rsidR="005074E2">
        <w:t>or</w:t>
      </w:r>
      <w:r w:rsidR="00D22BC6">
        <w:t xml:space="preserve"> </w:t>
      </w:r>
      <w:r w:rsidR="00951850">
        <w:t>services</w:t>
      </w:r>
      <w:r w:rsidR="005074E2">
        <w:t>, and particularly residential programs with supports,</w:t>
      </w:r>
      <w:r w:rsidR="00951850">
        <w:t xml:space="preserve"> to help individuals </w:t>
      </w:r>
      <w:r w:rsidR="005074E2">
        <w:t>transition from</w:t>
      </w:r>
      <w:r w:rsidR="00951850">
        <w:t xml:space="preserve"> nursing facilities to their homes and communities</w:t>
      </w:r>
      <w:r w:rsidR="00547D3E">
        <w:t xml:space="preserve"> or to prevent </w:t>
      </w:r>
      <w:r w:rsidR="005074E2">
        <w:t xml:space="preserve">unnecessary </w:t>
      </w:r>
      <w:r w:rsidR="00547D3E">
        <w:t>admission to nursing facilities</w:t>
      </w:r>
      <w:r w:rsidR="00951850">
        <w:t>.</w:t>
      </w:r>
    </w:p>
    <w:p w14:paraId="4C23DDF0" w14:textId="77777777" w:rsidR="00BD3F1D" w:rsidRDefault="001270DD" w:rsidP="00D6384F">
      <w:r>
        <w:t xml:space="preserve">The importance and urgency of </w:t>
      </w:r>
      <w:r w:rsidR="00BD3F1D">
        <w:t xml:space="preserve">taking </w:t>
      </w:r>
      <w:r>
        <w:t xml:space="preserve">action to reduce the state’s dependence on nursing facilities is </w:t>
      </w:r>
      <w:r w:rsidR="00EB16E2">
        <w:t>indisputable</w:t>
      </w:r>
      <w:r>
        <w:t xml:space="preserve">.  </w:t>
      </w:r>
      <w:r w:rsidR="00951850">
        <w:t xml:space="preserve">The Commonwealth must take the opportunity with the 1115 Waiver Renewal to address the </w:t>
      </w:r>
      <w:r w:rsidR="005074E2">
        <w:t xml:space="preserve">long-standing </w:t>
      </w:r>
      <w:r w:rsidR="00951850">
        <w:t>problem of the unnecessary segregation in nursing facilities of adults with disabilities and older adults.</w:t>
      </w:r>
      <w:r w:rsidR="004F6A17">
        <w:t xml:space="preserve">  Such action would align with the goals laid out in t</w:t>
      </w:r>
      <w:r w:rsidR="00BD3F1D">
        <w:t xml:space="preserve">he Commonwealth’s Nursing Facility Task Force report </w:t>
      </w:r>
      <w:r w:rsidR="005074E2">
        <w:t xml:space="preserve">of </w:t>
      </w:r>
      <w:r w:rsidR="00BD3F1D">
        <w:t>January 31, 2020</w:t>
      </w:r>
      <w:r w:rsidR="008F20FA">
        <w:t xml:space="preserve">.  The report concluded that </w:t>
      </w:r>
      <w:r w:rsidR="00BD3F1D">
        <w:t xml:space="preserve">funding spent on empty </w:t>
      </w:r>
      <w:r w:rsidR="005074E2">
        <w:t xml:space="preserve">nursing </w:t>
      </w:r>
      <w:r w:rsidR="00BD3F1D">
        <w:t xml:space="preserve">beds </w:t>
      </w:r>
      <w:r w:rsidR="008F20FA">
        <w:t xml:space="preserve">should </w:t>
      </w:r>
      <w:r w:rsidR="00BD3F1D">
        <w:t xml:space="preserve">be redirected to support the expansion of community services.  Additionally, the Task Force proposed that, in order to reduce the excess bed capacity in the </w:t>
      </w:r>
      <w:r w:rsidR="005074E2">
        <w:t xml:space="preserve">nursing facility </w:t>
      </w:r>
      <w:r w:rsidR="00BD3F1D">
        <w:t xml:space="preserve">system, the </w:t>
      </w:r>
      <w:r w:rsidR="005074E2">
        <w:t>S</w:t>
      </w:r>
      <w:r w:rsidR="00BD3F1D">
        <w:t>tate should provide incentives to allow for the conversion of nursing facilities to “alternative services,” such as affordable senior housing or assisted living units.</w:t>
      </w:r>
      <w:r w:rsidR="008F20FA">
        <w:t xml:space="preserve">  </w:t>
      </w:r>
      <w:r w:rsidR="005074E2">
        <w:t xml:space="preserve">The 1115 Waiver Renewal should include a primary goal of </w:t>
      </w:r>
      <w:r w:rsidR="00D22BC6">
        <w:t>d</w:t>
      </w:r>
      <w:r w:rsidR="008F20FA">
        <w:t>ownsizing the current nursing facility system and creating more robust home and community based services</w:t>
      </w:r>
      <w:r w:rsidR="005074E2">
        <w:t>.  It should describe strategies and provide substantial incentives for expanding</w:t>
      </w:r>
      <w:r w:rsidR="008F20FA">
        <w:t xml:space="preserve"> transition and diversion </w:t>
      </w:r>
      <w:r w:rsidR="00545845">
        <w:t>services</w:t>
      </w:r>
      <w:r w:rsidR="008B3698">
        <w:t xml:space="preserve"> and residential programs and supports</w:t>
      </w:r>
      <w:r w:rsidR="00545845">
        <w:t xml:space="preserve">, </w:t>
      </w:r>
      <w:r w:rsidR="005074E2">
        <w:t xml:space="preserve">in order </w:t>
      </w:r>
      <w:r w:rsidR="00545845">
        <w:t>to permit older adults and individuals with disabilities to live in</w:t>
      </w:r>
      <w:r w:rsidR="008B3698">
        <w:t xml:space="preserve"> integrated settings in</w:t>
      </w:r>
      <w:r w:rsidR="00545845">
        <w:t xml:space="preserve"> their homes and communities.</w:t>
      </w:r>
    </w:p>
    <w:p w14:paraId="170613E3" w14:textId="77777777" w:rsidR="005074E2" w:rsidRDefault="005074E2" w:rsidP="00D6384F">
      <w:r>
        <w:lastRenderedPageBreak/>
        <w:t xml:space="preserve">This goal and these strategies would support the long-delayed implementation of </w:t>
      </w:r>
      <w:r w:rsidR="00545845">
        <w:t xml:space="preserve">the Commonwealth’s Olmstead Plan and realize the </w:t>
      </w:r>
      <w:r>
        <w:t>S</w:t>
      </w:r>
      <w:r w:rsidR="00545845">
        <w:t>tate’s commitment to shifting the focus of long-term care resources from institutions to the community.</w:t>
      </w:r>
      <w:r w:rsidR="00D8416D">
        <w:t xml:space="preserve">  A program </w:t>
      </w:r>
      <w:r w:rsidR="008B3698">
        <w:t xml:space="preserve">directed at </w:t>
      </w:r>
      <w:r w:rsidR="00D8416D">
        <w:t xml:space="preserve">a cross-disability population </w:t>
      </w:r>
      <w:r w:rsidR="008B3698">
        <w:t xml:space="preserve">that </w:t>
      </w:r>
      <w:r w:rsidR="00D8416D">
        <w:t xml:space="preserve">provides greater choices for people to remain home and in the community addresses </w:t>
      </w:r>
      <w:r w:rsidR="00DE61C7">
        <w:t>the goal of advancing health equity, as laid out in the 1115 Waiver Renewal Application</w:t>
      </w:r>
      <w:r w:rsidR="00D8416D">
        <w:t xml:space="preserve">.  </w:t>
      </w:r>
    </w:p>
    <w:p w14:paraId="5F359AD1" w14:textId="3748B655" w:rsidR="00345677" w:rsidRDefault="00D8416D" w:rsidP="00D6384F">
      <w:r>
        <w:t xml:space="preserve">Despite the fact that the current 1115 </w:t>
      </w:r>
      <w:r w:rsidR="005074E2">
        <w:t>R</w:t>
      </w:r>
      <w:r>
        <w:t xml:space="preserve">enewal application does not include such an initiative, the Commonwealth need not </w:t>
      </w:r>
      <w:r w:rsidR="005074E2">
        <w:t xml:space="preserve">invent a new strategy or design a new program </w:t>
      </w:r>
      <w:r>
        <w:t xml:space="preserve">in order to address the </w:t>
      </w:r>
      <w:r w:rsidR="005E047C">
        <w:t xml:space="preserve">immediate, pressing need to transition individuals </w:t>
      </w:r>
      <w:r w:rsidR="0035373B">
        <w:t>from</w:t>
      </w:r>
      <w:r w:rsidR="005E047C">
        <w:t xml:space="preserve"> nursing facilities to the community, as well as </w:t>
      </w:r>
      <w:r w:rsidR="0035373B">
        <w:t xml:space="preserve">to support </w:t>
      </w:r>
      <w:r w:rsidR="005E047C">
        <w:t xml:space="preserve">older adults and individuals with disabilities </w:t>
      </w:r>
      <w:r w:rsidR="0035373B">
        <w:t xml:space="preserve">to avoid unnecessary admission to </w:t>
      </w:r>
      <w:r w:rsidR="005E047C">
        <w:t>nursing facilities.</w:t>
      </w:r>
      <w:r w:rsidR="0035373B">
        <w:t xml:space="preserve">  </w:t>
      </w:r>
      <w:r w:rsidR="00345677">
        <w:t xml:space="preserve">The Community First </w:t>
      </w:r>
      <w:r w:rsidR="0035373B">
        <w:t xml:space="preserve">1115 </w:t>
      </w:r>
      <w:r w:rsidR="00345677">
        <w:t xml:space="preserve">Waiver Proposal, created in 2008, provides </w:t>
      </w:r>
      <w:r w:rsidR="0035373B">
        <w:t>a well-designed initiative that should be included, almost as is, in</w:t>
      </w:r>
      <w:r w:rsidR="00345677">
        <w:t xml:space="preserve"> the 1115 Waiver Renewal Application to address this essential issue. </w:t>
      </w:r>
      <w:r w:rsidR="00395A4B">
        <w:t xml:space="preserve"> </w:t>
      </w:r>
      <w:r w:rsidR="008429BB">
        <w:t xml:space="preserve">The process to develop the Community First Waiver involved a wide-range of stakeholder </w:t>
      </w:r>
      <w:r w:rsidR="00CF22B1">
        <w:t>enga</w:t>
      </w:r>
      <w:r w:rsidR="0035373B">
        <w:t>g</w:t>
      </w:r>
      <w:r w:rsidR="008429BB">
        <w:t>ement, including the older adult and individuals</w:t>
      </w:r>
      <w:r w:rsidR="00395A4B">
        <w:t xml:space="preserve"> with disabilities</w:t>
      </w:r>
      <w:r w:rsidR="008429BB">
        <w:t xml:space="preserve"> communities, long-term care providers, families and caregivers, and other health care and interest groups</w:t>
      </w:r>
      <w:r w:rsidR="008B3698">
        <w:t xml:space="preserve"> </w:t>
      </w:r>
      <w:r w:rsidR="0035373B">
        <w:t xml:space="preserve">who </w:t>
      </w:r>
      <w:r w:rsidR="008B3698">
        <w:t>work</w:t>
      </w:r>
      <w:r w:rsidR="0035373B">
        <w:t>ed</w:t>
      </w:r>
      <w:r w:rsidR="008B3698">
        <w:t xml:space="preserve"> together to design key components of programs</w:t>
      </w:r>
      <w:r w:rsidR="008429BB">
        <w:t>.</w:t>
      </w:r>
      <w:r w:rsidR="008B3698">
        <w:t xml:space="preserve">  The workgroup </w:t>
      </w:r>
      <w:r w:rsidR="0035373B">
        <w:t xml:space="preserve">developed </w:t>
      </w:r>
      <w:r w:rsidR="008B3698">
        <w:t xml:space="preserve">the eligibility determination process and the case management and waiver system infrastructures.  The result of the Commonwealth’s significant efforts was an ambitious and comprehensive proposal that rebalanced the </w:t>
      </w:r>
      <w:r w:rsidR="0035373B">
        <w:t>S</w:t>
      </w:r>
      <w:r w:rsidR="008B3698">
        <w:t>tate’s long term care system and ensured a full continuum of care for people in the community</w:t>
      </w:r>
      <w:r w:rsidR="0035373B">
        <w:t>,</w:t>
      </w:r>
      <w:r w:rsidR="008B3698">
        <w:t xml:space="preserve"> while maintaining necessary nursing facility capacity. </w:t>
      </w:r>
      <w:r w:rsidR="008429BB">
        <w:t xml:space="preserve"> </w:t>
      </w:r>
      <w:r w:rsidR="005646B5">
        <w:t>The product was the effort of a broad, inclusive workgroup composed of various stakeholders who reached a unanimous recommendation</w:t>
      </w:r>
      <w:r w:rsidR="00451C1E">
        <w:t xml:space="preserve"> </w:t>
      </w:r>
      <w:r w:rsidR="00AD3ACF">
        <w:t>that</w:t>
      </w:r>
      <w:r w:rsidR="00451C1E">
        <w:t xml:space="preserve"> is a</w:t>
      </w:r>
      <w:r w:rsidR="00A44C07">
        <w:t>s</w:t>
      </w:r>
      <w:r w:rsidR="00451C1E">
        <w:t xml:space="preserve"> valid today as it was thirteen years ago.</w:t>
      </w:r>
    </w:p>
    <w:p w14:paraId="26813C56" w14:textId="77777777" w:rsidR="008429BB" w:rsidRDefault="008B3698" w:rsidP="00D6384F">
      <w:r>
        <w:t>This</w:t>
      </w:r>
      <w:r w:rsidR="008429BB">
        <w:t xml:space="preserve"> </w:t>
      </w:r>
      <w:r>
        <w:t>thorough</w:t>
      </w:r>
      <w:r w:rsidR="0035373B">
        <w:t>,</w:t>
      </w:r>
      <w:r>
        <w:t xml:space="preserve"> development </w:t>
      </w:r>
      <w:r w:rsidR="008429BB">
        <w:t>process led to the creation of a proposal that was ambitious in scope and impact, while also achieving budget neutrality.</w:t>
      </w:r>
      <w:r w:rsidR="008429BB" w:rsidRPr="008429BB">
        <w:t xml:space="preserve"> </w:t>
      </w:r>
      <w:r w:rsidR="008429BB">
        <w:t xml:space="preserve"> The Community First 1115 Demonstration identified three cross-disability target populations for expanded services: (1) persons at imminent risk of entering nursing facilities (diversion group); (2) persons in nursing facilities (transition group); and (3) persons whose future admission could be avoided (prevention group).  A service package was created for each cross-disability population, </w:t>
      </w:r>
      <w:r w:rsidR="00D302B5">
        <w:t>and an</w:t>
      </w:r>
      <w:r w:rsidR="008429BB">
        <w:t xml:space="preserve"> expansion of financial and other eligibility requirements for Medicaid waiver services</w:t>
      </w:r>
      <w:r w:rsidR="00D302B5">
        <w:t xml:space="preserve"> was included to ensure maximum access to services.</w:t>
      </w:r>
      <w:r w:rsidR="008429BB">
        <w:t xml:space="preserve">  </w:t>
      </w:r>
    </w:p>
    <w:p w14:paraId="46F4851C" w14:textId="01CEFEDC" w:rsidR="00D302B5" w:rsidRDefault="008429BB" w:rsidP="008429BB">
      <w:r>
        <w:t>T</w:t>
      </w:r>
      <w:r w:rsidR="00ED6F54">
        <w:t>he Community First 1115 Demonstration</w:t>
      </w:r>
      <w:r>
        <w:t xml:space="preserve"> </w:t>
      </w:r>
      <w:r w:rsidR="0035373B">
        <w:t xml:space="preserve">was designed </w:t>
      </w:r>
      <w:r w:rsidR="00ED6F54">
        <w:t>to transition at least 1</w:t>
      </w:r>
      <w:r w:rsidR="0035373B">
        <w:t>,</w:t>
      </w:r>
      <w:r w:rsidR="00ED6F54">
        <w:t>000 peo</w:t>
      </w:r>
      <w:r w:rsidR="00395A4B">
        <w:t>ple from nursing facilities (half older adults and half</w:t>
      </w:r>
      <w:r w:rsidR="00ED6F54">
        <w:t xml:space="preserve"> adults with disabilities); to divert 10,600 individuals in the imminent risk group; and </w:t>
      </w:r>
      <w:r>
        <w:t xml:space="preserve">to target </w:t>
      </w:r>
      <w:r w:rsidR="00ED6F54">
        <w:t>4</w:t>
      </w:r>
      <w:r w:rsidR="0035373B">
        <w:t>,</w:t>
      </w:r>
      <w:r w:rsidR="00ED6F54">
        <w:t xml:space="preserve">000 in the prevention group. </w:t>
      </w:r>
      <w:r>
        <w:t>The s</w:t>
      </w:r>
      <w:r w:rsidR="00547D3E">
        <w:t>ervice packages proposed in the Community First Demonstration</w:t>
      </w:r>
      <w:r>
        <w:t xml:space="preserve"> </w:t>
      </w:r>
      <w:r w:rsidR="0035373B">
        <w:t xml:space="preserve"> </w:t>
      </w:r>
      <w:r w:rsidR="00395A4B">
        <w:t xml:space="preserve">– </w:t>
      </w:r>
      <w:r>
        <w:t>some new and some broadened offerings of existing services</w:t>
      </w:r>
      <w:r w:rsidR="0035373B">
        <w:t xml:space="preserve"> </w:t>
      </w:r>
      <w:r w:rsidR="00395A4B">
        <w:t xml:space="preserve">– </w:t>
      </w:r>
      <w:r>
        <w:t xml:space="preserve">would be available across disability and age groups and directly addressed the </w:t>
      </w:r>
      <w:r>
        <w:lastRenderedPageBreak/>
        <w:t>Commonwealth’s obligation under the Americans with Disabilities Act (ADA) that individuals with disabilities be placed in the most integrated setting.</w:t>
      </w:r>
      <w:r w:rsidR="00547D3E">
        <w:t xml:space="preserve">  </w:t>
      </w:r>
      <w:r w:rsidR="0035373B">
        <w:t>Since this obligation remains largely outstanding with respect</w:t>
      </w:r>
      <w:r w:rsidR="00395A4B">
        <w:t xml:space="preserve"> to thousands of individuals in or at risk of entering</w:t>
      </w:r>
      <w:r w:rsidR="0035373B">
        <w:t xml:space="preserve"> nursing facilities, the 111</w:t>
      </w:r>
      <w:r w:rsidR="00160FF7">
        <w:t>5</w:t>
      </w:r>
      <w:r w:rsidR="0035373B">
        <w:t xml:space="preserve"> Waiver Renewal presents a critical opportunity to implement the Commonwealth’s Olmstead Plan, to improve compliance with the ADA, and, most importantly, to provide thousands of older adults and persons with disabilities meaningful choices to remain in their homes and home communities – a choice made ever more urgent by the pandemic.</w:t>
      </w:r>
      <w:r w:rsidR="00395A4B">
        <w:t xml:space="preserve"> </w:t>
      </w:r>
    </w:p>
    <w:p w14:paraId="2DA36328" w14:textId="77777777" w:rsidR="00661F8C" w:rsidRDefault="00D302B5" w:rsidP="00D302B5">
      <w:r>
        <w:t xml:space="preserve">The 1115 Waiver </w:t>
      </w:r>
      <w:r w:rsidR="0035373B">
        <w:t>R</w:t>
      </w:r>
      <w:r>
        <w:t xml:space="preserve">enewal’s goal of advancing health equity could be addressed by adopting </w:t>
      </w:r>
      <w:r w:rsidR="00160FF7">
        <w:t xml:space="preserve">most of the elements of </w:t>
      </w:r>
      <w:r>
        <w:t xml:space="preserve">the 2008 Community First Waiver Demonstration.  The renewal application </w:t>
      </w:r>
      <w:r w:rsidR="00160FF7">
        <w:t>should</w:t>
      </w:r>
      <w:r>
        <w:t xml:space="preserve"> be amended and expanded to </w:t>
      </w:r>
      <w:r w:rsidR="00547D3E">
        <w:t>include</w:t>
      </w:r>
      <w:r w:rsidR="00021B08">
        <w:t xml:space="preserve"> the following services, as described in the service definitions for the Community First Waiver Demonstration</w:t>
      </w:r>
      <w:r w:rsidR="00661F8C">
        <w:t>:</w:t>
      </w:r>
    </w:p>
    <w:p w14:paraId="701FC328" w14:textId="77777777" w:rsidR="00661F8C" w:rsidRDefault="00D302B5" w:rsidP="00661F8C">
      <w:pPr>
        <w:pStyle w:val="ListParagraph"/>
        <w:numPr>
          <w:ilvl w:val="0"/>
          <w:numId w:val="2"/>
        </w:numPr>
      </w:pPr>
      <w:r>
        <w:t>C</w:t>
      </w:r>
      <w:r w:rsidR="00547D3E">
        <w:t>linical assessment</w:t>
      </w:r>
      <w:r w:rsidR="00661F8C">
        <w:t>s</w:t>
      </w:r>
      <w:r>
        <w:t xml:space="preserve"> – provided to all individuals at imminent risk of placement in a nursing facility and those in the prevention group in order to</w:t>
      </w:r>
      <w:r w:rsidR="00661F8C">
        <w:t xml:space="preserve"> determine the needs of</w:t>
      </w:r>
      <w:r w:rsidR="008C7C43">
        <w:t xml:space="preserve"> the individuals</w:t>
      </w:r>
      <w:r w:rsidR="00661F8C">
        <w:t>;</w:t>
      </w:r>
    </w:p>
    <w:p w14:paraId="0D8EB644" w14:textId="77777777" w:rsidR="00A55A03" w:rsidRDefault="008C7C43" w:rsidP="00661F8C">
      <w:pPr>
        <w:pStyle w:val="ListParagraph"/>
        <w:numPr>
          <w:ilvl w:val="0"/>
          <w:numId w:val="2"/>
        </w:numPr>
      </w:pPr>
      <w:r>
        <w:t>C</w:t>
      </w:r>
      <w:r w:rsidR="00547D3E">
        <w:t>are plan development</w:t>
      </w:r>
      <w:r w:rsidR="00661F8C">
        <w:t xml:space="preserve"> </w:t>
      </w:r>
      <w:r>
        <w:t xml:space="preserve"> – provided to </w:t>
      </w:r>
      <w:r w:rsidR="00661F8C">
        <w:t xml:space="preserve">all </w:t>
      </w:r>
      <w:r w:rsidR="00021B08">
        <w:t>D</w:t>
      </w:r>
      <w:r w:rsidR="00661F8C">
        <w:t xml:space="preserve">emonstration participants </w:t>
      </w:r>
      <w:r w:rsidR="00A55A03">
        <w:t>to determine appropriate programs and services based on the assessed need for services;</w:t>
      </w:r>
    </w:p>
    <w:p w14:paraId="36F3155D" w14:textId="77777777" w:rsidR="00A55A03" w:rsidRDefault="008C7C43" w:rsidP="00661F8C">
      <w:pPr>
        <w:pStyle w:val="ListParagraph"/>
        <w:numPr>
          <w:ilvl w:val="0"/>
          <w:numId w:val="2"/>
        </w:numPr>
      </w:pPr>
      <w:r>
        <w:t>C</w:t>
      </w:r>
      <w:r w:rsidR="00547D3E">
        <w:t>ase management</w:t>
      </w:r>
      <w:r w:rsidR="00A55A03">
        <w:t xml:space="preserve"> </w:t>
      </w:r>
      <w:r>
        <w:t xml:space="preserve"> – provided to</w:t>
      </w:r>
      <w:r w:rsidR="00A55A03">
        <w:t xml:space="preserve"> all </w:t>
      </w:r>
      <w:r w:rsidR="00021B08">
        <w:t>D</w:t>
      </w:r>
      <w:r w:rsidR="00A55A03">
        <w:t xml:space="preserve">emonstration participants to enable access to </w:t>
      </w:r>
      <w:r w:rsidR="00021B08">
        <w:t>D</w:t>
      </w:r>
      <w:r w:rsidR="00A55A03">
        <w:t>emonstration services;</w:t>
      </w:r>
      <w:r w:rsidR="00547D3E">
        <w:t xml:space="preserve"> and </w:t>
      </w:r>
    </w:p>
    <w:p w14:paraId="26874F47" w14:textId="3A4D2C76" w:rsidR="00547D3E" w:rsidRDefault="008C7C43" w:rsidP="00661F8C">
      <w:pPr>
        <w:pStyle w:val="ListParagraph"/>
        <w:numPr>
          <w:ilvl w:val="0"/>
          <w:numId w:val="2"/>
        </w:numPr>
      </w:pPr>
      <w:r>
        <w:t>Residential and non-residential support services – provided to persons with a range of disabilities</w:t>
      </w:r>
      <w:r w:rsidR="002376BD">
        <w:t>, regardless of age,</w:t>
      </w:r>
      <w:r>
        <w:t xml:space="preserve"> in </w:t>
      </w:r>
      <w:r w:rsidR="00021B08">
        <w:t xml:space="preserve">nursing </w:t>
      </w:r>
      <w:r>
        <w:t xml:space="preserve">facilities </w:t>
      </w:r>
      <w:r w:rsidR="00021B08">
        <w:t xml:space="preserve">(transition population) </w:t>
      </w:r>
      <w:r>
        <w:t>and at risk of being placed in a facility</w:t>
      </w:r>
      <w:r w:rsidR="00021B08">
        <w:t xml:space="preserve"> (diversion population)</w:t>
      </w:r>
      <w:r w:rsidR="00547D3E">
        <w:t xml:space="preserve">.  </w:t>
      </w:r>
      <w:r>
        <w:t xml:space="preserve"> </w:t>
      </w:r>
    </w:p>
    <w:p w14:paraId="2FF91D01" w14:textId="3DAF7040" w:rsidR="0061748C" w:rsidRDefault="00160FF7" w:rsidP="00CF22B1">
      <w:r>
        <w:t>A few modifications to the Community First Waiver Demonstration are probably necessary.  In light of CMS’s concern</w:t>
      </w:r>
      <w:r w:rsidR="002376BD">
        <w:t xml:space="preserve"> in 2008</w:t>
      </w:r>
      <w:r>
        <w:t xml:space="preserve"> about the lack of data to support budget neutrality projections for the diversion population, it may be prudent to reduce the number of </w:t>
      </w:r>
      <w:r w:rsidR="00B23332">
        <w:t>persons in the diversion population, unless MassHealth has more current and reliable data on the utilization of diversion services.  Concomitantly, it is necessary to significantly expand the number of persons in the transition population – from 1,000 to 5,000 – to reflect both the actual number of persons in nursing facilities who could safely transition to the community, the demand for the MFP waivers, and the lessons learned from the pandemic</w:t>
      </w:r>
      <w:r w:rsidR="00E41971">
        <w:t>.</w:t>
      </w:r>
      <w:r w:rsidR="00B23332">
        <w:t xml:space="preserve"> </w:t>
      </w:r>
      <w:r w:rsidR="0061748C">
        <w:t xml:space="preserve"> </w:t>
      </w:r>
    </w:p>
    <w:p w14:paraId="02DA6A69" w14:textId="0E7228BC" w:rsidR="00CA6F31" w:rsidRDefault="00002622" w:rsidP="00547D3E">
      <w:r>
        <w:t xml:space="preserve">There are approximately 35,000 persons in nursing facilities in Massachusetts, approximately </w:t>
      </w:r>
      <w:r w:rsidRPr="005C2E43">
        <w:t xml:space="preserve">two-thirds </w:t>
      </w:r>
      <w:r>
        <w:t xml:space="preserve">of whom are eligible for the </w:t>
      </w:r>
      <w:r w:rsidR="00E37D15">
        <w:t>S</w:t>
      </w:r>
      <w:r>
        <w:t>tate’s Medicaid program, at least once they have exhausted private insurance or Medicare benefits.  Only two of the Commonwealth’s ten Medicaid HCBS waivers provide residential and community living (non-residential) services to persons of any age and any disability in nursing facilities, rehabilitation facilities, and some other institutions.  The Community First Waiver Proposal</w:t>
      </w:r>
      <w:r w:rsidR="00160FF7">
        <w:t xml:space="preserve"> </w:t>
      </w:r>
      <w:r w:rsidR="00696D89">
        <w:t>expanded eligibility and</w:t>
      </w:r>
      <w:r>
        <w:t xml:space="preserve"> provided </w:t>
      </w:r>
      <w:r w:rsidR="00160FF7">
        <w:t>substantially mo</w:t>
      </w:r>
      <w:r w:rsidR="00B23332">
        <w:t>r</w:t>
      </w:r>
      <w:r w:rsidR="00160FF7">
        <w:t>e</w:t>
      </w:r>
      <w:r>
        <w:t xml:space="preserve"> opportunities </w:t>
      </w:r>
      <w:r w:rsidR="00160FF7">
        <w:t xml:space="preserve">and supports to avoid unnecessary institutionalization in nursing </w:t>
      </w:r>
      <w:r w:rsidR="00160FF7">
        <w:lastRenderedPageBreak/>
        <w:t>facilities,</w:t>
      </w:r>
      <w:r w:rsidR="00B23332">
        <w:t xml:space="preserve"> </w:t>
      </w:r>
      <w:r w:rsidR="0061748C">
        <w:t>so</w:t>
      </w:r>
      <w:r>
        <w:t xml:space="preserve"> that more people have the chance to return</w:t>
      </w:r>
      <w:r w:rsidR="0061748C">
        <w:t xml:space="preserve"> to</w:t>
      </w:r>
      <w:r w:rsidR="00160FF7">
        <w:t>, or remain in,</w:t>
      </w:r>
      <w:r w:rsidR="0061748C">
        <w:t xml:space="preserve"> their homes and communities. Using the knowledge</w:t>
      </w:r>
      <w:r w:rsidR="006363D0">
        <w:t>, experience</w:t>
      </w:r>
      <w:r w:rsidR="00696D89">
        <w:t>,</w:t>
      </w:r>
      <w:r w:rsidR="0061748C">
        <w:t xml:space="preserve"> and scaffolding</w:t>
      </w:r>
      <w:r w:rsidR="006363D0">
        <w:t xml:space="preserve"> the Commonwealth has acquired through some of its current HCBS waiver programs, the </w:t>
      </w:r>
      <w:r w:rsidR="00160FF7">
        <w:t>S</w:t>
      </w:r>
      <w:r w:rsidR="006363D0">
        <w:t>tate</w:t>
      </w:r>
      <w:r w:rsidR="0061748C">
        <w:t xml:space="preserve"> </w:t>
      </w:r>
      <w:r w:rsidR="00D302B5">
        <w:t xml:space="preserve">could significantly reduce the number of MassHealth-funded nursing facility </w:t>
      </w:r>
      <w:r w:rsidR="00B23332">
        <w:t>residents</w:t>
      </w:r>
      <w:r w:rsidR="00D302B5">
        <w:t xml:space="preserve">, </w:t>
      </w:r>
      <w:r w:rsidR="006363D0">
        <w:t xml:space="preserve">avoid the unnecessary segregation of older adults and individuals with disabilities in nursing facilities, and expand the </w:t>
      </w:r>
      <w:r w:rsidR="00160FF7">
        <w:t>S</w:t>
      </w:r>
      <w:r w:rsidR="006363D0">
        <w:t>tate’s capacity to provide needed supports and services in the most integrated setting</w:t>
      </w:r>
      <w:r w:rsidR="002376BD">
        <w:t>s</w:t>
      </w:r>
      <w:r w:rsidR="006363D0">
        <w:t xml:space="preserve">. </w:t>
      </w:r>
      <w:r w:rsidR="00975B05">
        <w:t xml:space="preserve"> </w:t>
      </w:r>
    </w:p>
    <w:p w14:paraId="1030F6B8" w14:textId="0FB0D2A3" w:rsidR="00951850" w:rsidRDefault="00D6384F" w:rsidP="00951850">
      <w:r>
        <w:t xml:space="preserve">In conclusion, significant modifications </w:t>
      </w:r>
      <w:r w:rsidR="00B23332">
        <w:t>should</w:t>
      </w:r>
      <w:r>
        <w:t xml:space="preserve"> be made to the Commonwealth’s 1155 Waiver Renewal to incl</w:t>
      </w:r>
      <w:r w:rsidR="002376BD">
        <w:t>ude the Community First Waiver P</w:t>
      </w:r>
      <w:r>
        <w:t>roposal expansion of home and community</w:t>
      </w:r>
      <w:r w:rsidR="00296CC2">
        <w:t xml:space="preserve"> services</w:t>
      </w:r>
      <w:r w:rsidR="00B23332">
        <w:t>, in order</w:t>
      </w:r>
      <w:r w:rsidR="00296CC2">
        <w:t xml:space="preserve"> to </w:t>
      </w:r>
      <w:r w:rsidR="00951850">
        <w:t xml:space="preserve">transition individuals out of nursing facilities or divert and prevent individuals from </w:t>
      </w:r>
      <w:r w:rsidR="00951850" w:rsidRPr="009F235E">
        <w:rPr>
          <w:rFonts w:cs="Times New Roman"/>
          <w:szCs w:val="24"/>
        </w:rPr>
        <w:t>unnecessary placement in nursing facilities</w:t>
      </w:r>
      <w:r w:rsidR="00B23332" w:rsidRPr="009F235E">
        <w:rPr>
          <w:rFonts w:cs="Times New Roman"/>
          <w:szCs w:val="24"/>
        </w:rPr>
        <w:t>.</w:t>
      </w:r>
      <w:r w:rsidR="009F235E" w:rsidRPr="009F235E">
        <w:rPr>
          <w:rFonts w:cs="Times New Roman"/>
          <w:szCs w:val="24"/>
        </w:rPr>
        <w:t xml:space="preserve"> </w:t>
      </w:r>
      <w:r w:rsidR="009F235E" w:rsidRPr="009F235E">
        <w:rPr>
          <w:rFonts w:cs="Times New Roman"/>
          <w:color w:val="222222"/>
          <w:szCs w:val="24"/>
          <w:shd w:val="clear" w:color="auto" w:fill="FFFFFF"/>
        </w:rPr>
        <w:t xml:space="preserve"> </w:t>
      </w:r>
      <w:r w:rsidR="009F235E">
        <w:rPr>
          <w:rFonts w:cs="Times New Roman"/>
          <w:color w:val="222222"/>
          <w:szCs w:val="24"/>
          <w:shd w:val="clear" w:color="auto" w:fill="FFFFFF"/>
        </w:rPr>
        <w:t>An e</w:t>
      </w:r>
      <w:r w:rsidR="009F235E" w:rsidRPr="009F235E">
        <w:rPr>
          <w:rFonts w:cs="Times New Roman"/>
          <w:szCs w:val="24"/>
        </w:rPr>
        <w:t xml:space="preserve">xpansion and strengthening of the </w:t>
      </w:r>
      <w:r w:rsidR="009F235E">
        <w:rPr>
          <w:rFonts w:cs="Times New Roman"/>
          <w:szCs w:val="24"/>
        </w:rPr>
        <w:t xml:space="preserve">State’s </w:t>
      </w:r>
      <w:r w:rsidR="009F235E" w:rsidRPr="009F235E">
        <w:rPr>
          <w:rFonts w:cs="Times New Roman"/>
          <w:szCs w:val="24"/>
        </w:rPr>
        <w:t xml:space="preserve">home and community based service system also </w:t>
      </w:r>
      <w:r w:rsidR="009F235E">
        <w:rPr>
          <w:rFonts w:cs="Times New Roman"/>
          <w:szCs w:val="24"/>
        </w:rPr>
        <w:t xml:space="preserve">aligns with </w:t>
      </w:r>
      <w:r w:rsidR="009F235E" w:rsidRPr="009F235E">
        <w:rPr>
          <w:rFonts w:cs="Times New Roman"/>
          <w:szCs w:val="24"/>
        </w:rPr>
        <w:t>the current Administration</w:t>
      </w:r>
      <w:r w:rsidR="009F235E">
        <w:rPr>
          <w:rFonts w:cs="Times New Roman"/>
          <w:szCs w:val="24"/>
        </w:rPr>
        <w:t>’s</w:t>
      </w:r>
      <w:r w:rsidR="009F235E" w:rsidRPr="009F235E">
        <w:rPr>
          <w:rFonts w:cs="Times New Roman"/>
          <w:szCs w:val="24"/>
        </w:rPr>
        <w:t xml:space="preserve"> top priority of </w:t>
      </w:r>
      <w:r w:rsidR="009F235E">
        <w:rPr>
          <w:rFonts w:cs="Times New Roman"/>
          <w:szCs w:val="24"/>
        </w:rPr>
        <w:t xml:space="preserve">expanding access to a broad array of long-term services and supports in local settings.  </w:t>
      </w:r>
      <w:r w:rsidR="00B23332" w:rsidRPr="009F235E">
        <w:rPr>
          <w:rFonts w:cs="Times New Roman"/>
          <w:szCs w:val="24"/>
        </w:rPr>
        <w:t xml:space="preserve">This modification of the </w:t>
      </w:r>
      <w:r w:rsidR="002376BD">
        <w:rPr>
          <w:rFonts w:cs="Times New Roman"/>
          <w:szCs w:val="24"/>
        </w:rPr>
        <w:t xml:space="preserve">1115 </w:t>
      </w:r>
      <w:r w:rsidR="00B23332" w:rsidRPr="009F235E">
        <w:rPr>
          <w:rFonts w:cs="Times New Roman"/>
          <w:szCs w:val="24"/>
        </w:rPr>
        <w:t>Waiver Renewal will advance it</w:t>
      </w:r>
      <w:r w:rsidR="00696D89" w:rsidRPr="009F235E">
        <w:rPr>
          <w:rFonts w:cs="Times New Roman"/>
          <w:szCs w:val="24"/>
        </w:rPr>
        <w:t>s</w:t>
      </w:r>
      <w:r w:rsidR="00B23332" w:rsidRPr="009F235E">
        <w:rPr>
          <w:rFonts w:cs="Times New Roman"/>
          <w:szCs w:val="24"/>
        </w:rPr>
        <w:t xml:space="preserve"> equity goals, rebalance the Commonwealth’s long term care system, facilitate</w:t>
      </w:r>
      <w:r w:rsidR="00951850" w:rsidRPr="009F235E">
        <w:rPr>
          <w:rFonts w:cs="Times New Roman"/>
          <w:szCs w:val="24"/>
        </w:rPr>
        <w:t xml:space="preserve"> compliance with the ADA</w:t>
      </w:r>
      <w:r w:rsidR="00B23332" w:rsidRPr="009F235E">
        <w:rPr>
          <w:rFonts w:cs="Times New Roman"/>
          <w:szCs w:val="24"/>
        </w:rPr>
        <w:t>, and reflect the</w:t>
      </w:r>
      <w:r w:rsidR="00B23332">
        <w:t xml:space="preserve"> lessons learned from the pandemic</w:t>
      </w:r>
      <w:r w:rsidR="00951850">
        <w:t>.</w:t>
      </w:r>
      <w:r w:rsidR="009F235E">
        <w:t xml:space="preserve">  </w:t>
      </w:r>
    </w:p>
    <w:p w14:paraId="46D29B90" w14:textId="461A3F2B" w:rsidR="00E47FCA" w:rsidRDefault="00E47FCA" w:rsidP="00E47FCA">
      <w:pPr>
        <w:spacing w:before="100" w:beforeAutospacing="1" w:after="100" w:afterAutospacing="1" w:line="240" w:lineRule="auto"/>
        <w:contextualSpacing/>
        <w:rPr>
          <w:rFonts w:eastAsia="Times New Roman" w:cs="Times New Roman"/>
          <w:color w:val="000000" w:themeColor="text1"/>
          <w:szCs w:val="24"/>
        </w:rPr>
      </w:pPr>
      <w:r>
        <w:rPr>
          <w:rFonts w:eastAsia="Times New Roman" w:cs="Times New Roman"/>
          <w:color w:val="000000" w:themeColor="text1"/>
          <w:szCs w:val="24"/>
        </w:rPr>
        <w:t xml:space="preserve">This </w:t>
      </w:r>
      <w:r>
        <w:rPr>
          <w:rFonts w:eastAsia="Times New Roman" w:cs="Times New Roman"/>
          <w:color w:val="000000" w:themeColor="text1"/>
          <w:szCs w:val="24"/>
        </w:rPr>
        <w:t>commentary</w:t>
      </w:r>
      <w:r>
        <w:rPr>
          <w:rFonts w:eastAsia="Times New Roman" w:cs="Times New Roman"/>
          <w:color w:val="000000" w:themeColor="text1"/>
          <w:szCs w:val="24"/>
        </w:rPr>
        <w:t xml:space="preserve"> has been endorsed by twenty-</w:t>
      </w:r>
      <w:r w:rsidR="003F0DF2">
        <w:rPr>
          <w:rFonts w:eastAsia="Times New Roman" w:cs="Times New Roman"/>
          <w:color w:val="000000" w:themeColor="text1"/>
          <w:szCs w:val="24"/>
        </w:rPr>
        <w:t>nine</w:t>
      </w:r>
      <w:r>
        <w:rPr>
          <w:rFonts w:eastAsia="Times New Roman" w:cs="Times New Roman"/>
          <w:color w:val="000000" w:themeColor="text1"/>
          <w:szCs w:val="24"/>
        </w:rPr>
        <w:t xml:space="preserve"> participants of Dignity Alliance Massachusetts including the following:</w:t>
      </w:r>
    </w:p>
    <w:p w14:paraId="18A6CB17" w14:textId="77777777" w:rsidR="00E47FCA" w:rsidRDefault="00E47FCA" w:rsidP="00E47FCA">
      <w:pPr>
        <w:spacing w:before="100" w:beforeAutospacing="1" w:after="100" w:afterAutospacing="1" w:line="240" w:lineRule="auto"/>
        <w:contextualSpacing/>
        <w:rPr>
          <w:rFonts w:eastAsia="Times New Roman" w:cs="Times New Roman"/>
          <w:color w:val="000000" w:themeColor="text1"/>
          <w:szCs w:val="24"/>
        </w:rPr>
      </w:pPr>
    </w:p>
    <w:p w14:paraId="51C9FAC9" w14:textId="77777777" w:rsidR="00E47FCA" w:rsidRDefault="00E47FCA" w:rsidP="00E47FCA">
      <w:pPr>
        <w:spacing w:before="100" w:beforeAutospacing="1" w:after="100" w:afterAutospacing="1" w:line="240" w:lineRule="auto"/>
        <w:ind w:left="720"/>
        <w:contextualSpacing/>
        <w:rPr>
          <w:rFonts w:eastAsia="Times New Roman" w:cs="Times New Roman"/>
          <w:color w:val="000000" w:themeColor="text1"/>
          <w:szCs w:val="24"/>
        </w:rPr>
      </w:pPr>
      <w:r>
        <w:rPr>
          <w:rFonts w:eastAsia="Times New Roman" w:cs="Times New Roman"/>
          <w:color w:val="000000" w:themeColor="text1"/>
          <w:szCs w:val="24"/>
        </w:rPr>
        <w:t>Center for Public Representation</w:t>
      </w:r>
    </w:p>
    <w:p w14:paraId="4CA6CB28" w14:textId="77777777" w:rsidR="00E47FCA" w:rsidRDefault="00E47FCA" w:rsidP="00E47FCA">
      <w:pPr>
        <w:spacing w:before="100" w:beforeAutospacing="1" w:after="100" w:afterAutospacing="1" w:line="240" w:lineRule="auto"/>
        <w:ind w:left="720"/>
        <w:contextualSpacing/>
        <w:rPr>
          <w:rFonts w:eastAsia="Times New Roman" w:cs="Times New Roman"/>
          <w:color w:val="000000" w:themeColor="text1"/>
          <w:szCs w:val="24"/>
        </w:rPr>
      </w:pPr>
      <w:r>
        <w:rPr>
          <w:rFonts w:eastAsia="Times New Roman" w:cs="Times New Roman"/>
          <w:color w:val="000000" w:themeColor="text1"/>
          <w:szCs w:val="24"/>
        </w:rPr>
        <w:t>COP Amputee Association, Inc. – COPAA</w:t>
      </w:r>
    </w:p>
    <w:p w14:paraId="35CCAB14" w14:textId="77777777" w:rsidR="00E47FCA" w:rsidRDefault="00E47FCA" w:rsidP="00E47FCA">
      <w:pPr>
        <w:spacing w:before="100" w:beforeAutospacing="1" w:after="100" w:afterAutospacing="1" w:line="240" w:lineRule="auto"/>
        <w:ind w:left="720"/>
        <w:contextualSpacing/>
        <w:rPr>
          <w:rFonts w:eastAsia="Times New Roman" w:cs="Times New Roman"/>
          <w:color w:val="000000" w:themeColor="text1"/>
          <w:szCs w:val="24"/>
        </w:rPr>
      </w:pPr>
      <w:r>
        <w:rPr>
          <w:rFonts w:eastAsia="Times New Roman" w:cs="Times New Roman"/>
          <w:color w:val="000000" w:themeColor="text1"/>
          <w:szCs w:val="24"/>
        </w:rPr>
        <w:t>Disability Resource Center, Inc.</w:t>
      </w:r>
    </w:p>
    <w:p w14:paraId="07CBE72D" w14:textId="77777777" w:rsidR="00E47FCA" w:rsidRDefault="00E47FCA" w:rsidP="00E47FCA">
      <w:pPr>
        <w:spacing w:before="100" w:beforeAutospacing="1" w:after="100" w:afterAutospacing="1" w:line="240" w:lineRule="auto"/>
        <w:ind w:left="720"/>
        <w:contextualSpacing/>
        <w:rPr>
          <w:rFonts w:eastAsia="Times New Roman" w:cs="Times New Roman"/>
          <w:color w:val="000000" w:themeColor="text1"/>
          <w:szCs w:val="24"/>
        </w:rPr>
      </w:pPr>
      <w:r>
        <w:rPr>
          <w:rFonts w:eastAsia="Times New Roman" w:cs="Times New Roman"/>
          <w:color w:val="000000" w:themeColor="text1"/>
          <w:szCs w:val="24"/>
        </w:rPr>
        <w:t>Easterseals Massachusetts</w:t>
      </w:r>
    </w:p>
    <w:p w14:paraId="347052B6" w14:textId="77777777" w:rsidR="00E47FCA" w:rsidRDefault="00E47FCA" w:rsidP="00E47FCA">
      <w:pPr>
        <w:spacing w:before="100" w:beforeAutospacing="1" w:after="100" w:afterAutospacing="1" w:line="240" w:lineRule="auto"/>
        <w:ind w:left="720"/>
        <w:contextualSpacing/>
        <w:rPr>
          <w:rFonts w:eastAsia="Times New Roman" w:cs="Times New Roman"/>
          <w:color w:val="000000" w:themeColor="text1"/>
          <w:szCs w:val="24"/>
        </w:rPr>
      </w:pPr>
      <w:r>
        <w:rPr>
          <w:rFonts w:eastAsia="Times New Roman" w:cs="Times New Roman"/>
          <w:color w:val="000000" w:themeColor="text1"/>
          <w:szCs w:val="24"/>
        </w:rPr>
        <w:t>Greater Boston Chapter of the United Spinal Association</w:t>
      </w:r>
    </w:p>
    <w:p w14:paraId="06A1BA3F" w14:textId="102D1EE4" w:rsidR="003F0DF2" w:rsidRDefault="003F0DF2" w:rsidP="003F0DF2">
      <w:pPr>
        <w:spacing w:before="100" w:beforeAutospacing="1" w:after="100" w:afterAutospacing="1" w:line="240" w:lineRule="auto"/>
        <w:ind w:left="720"/>
        <w:contextualSpacing/>
        <w:rPr>
          <w:rFonts w:eastAsia="Times New Roman" w:cs="Times New Roman"/>
          <w:color w:val="000000" w:themeColor="text1"/>
          <w:szCs w:val="24"/>
        </w:rPr>
      </w:pPr>
      <w:r>
        <w:rPr>
          <w:rFonts w:eastAsia="Times New Roman" w:cs="Times New Roman"/>
          <w:color w:val="000000" w:themeColor="text1"/>
          <w:szCs w:val="24"/>
        </w:rPr>
        <w:t>MassNAELA</w:t>
      </w:r>
    </w:p>
    <w:p w14:paraId="3A7C9712" w14:textId="502716C7" w:rsidR="003F0DF2" w:rsidRDefault="003F0DF2" w:rsidP="003F0DF2">
      <w:pPr>
        <w:spacing w:before="100" w:beforeAutospacing="1" w:after="100" w:afterAutospacing="1" w:line="240" w:lineRule="auto"/>
        <w:ind w:left="720"/>
        <w:contextualSpacing/>
        <w:rPr>
          <w:rFonts w:eastAsia="Times New Roman" w:cs="Times New Roman"/>
          <w:color w:val="000000" w:themeColor="text1"/>
          <w:szCs w:val="24"/>
        </w:rPr>
      </w:pPr>
      <w:r>
        <w:rPr>
          <w:rFonts w:eastAsia="Times New Roman" w:cs="Times New Roman"/>
          <w:color w:val="000000" w:themeColor="text1"/>
          <w:szCs w:val="24"/>
        </w:rPr>
        <w:t>Mystic Valley Elder Services</w:t>
      </w:r>
    </w:p>
    <w:p w14:paraId="563823E7" w14:textId="2FF1BAA8" w:rsidR="003F0DF2" w:rsidRDefault="003F0DF2" w:rsidP="00E47FCA">
      <w:pPr>
        <w:spacing w:before="100" w:beforeAutospacing="1" w:after="100" w:afterAutospacing="1" w:line="240" w:lineRule="auto"/>
        <w:ind w:left="720"/>
        <w:contextualSpacing/>
        <w:rPr>
          <w:rFonts w:eastAsia="Times New Roman" w:cs="Times New Roman"/>
          <w:color w:val="000000" w:themeColor="text1"/>
          <w:szCs w:val="24"/>
        </w:rPr>
      </w:pPr>
      <w:r>
        <w:rPr>
          <w:rFonts w:eastAsia="Times New Roman" w:cs="Times New Roman"/>
          <w:color w:val="000000" w:themeColor="text1"/>
          <w:szCs w:val="24"/>
        </w:rPr>
        <w:t>Betsey Crimmins, Greater Boston Legal Services</w:t>
      </w:r>
    </w:p>
    <w:p w14:paraId="5421CDC8" w14:textId="2E06CECC" w:rsidR="00E47FCA" w:rsidRDefault="00E47FCA" w:rsidP="00E47FCA">
      <w:pPr>
        <w:spacing w:before="100" w:beforeAutospacing="1" w:after="100" w:afterAutospacing="1" w:line="240" w:lineRule="auto"/>
        <w:ind w:left="720"/>
        <w:contextualSpacing/>
        <w:rPr>
          <w:rFonts w:eastAsia="Times New Roman" w:cs="Times New Roman"/>
          <w:color w:val="000000" w:themeColor="text1"/>
          <w:szCs w:val="24"/>
        </w:rPr>
      </w:pPr>
      <w:r>
        <w:rPr>
          <w:rFonts w:eastAsia="Times New Roman" w:cs="Times New Roman"/>
          <w:color w:val="000000" w:themeColor="text1"/>
          <w:szCs w:val="24"/>
        </w:rPr>
        <w:t>Judi Fonsh, MSW</w:t>
      </w:r>
    </w:p>
    <w:p w14:paraId="2FE05E4E" w14:textId="77777777" w:rsidR="00E47FCA" w:rsidRDefault="00E47FCA" w:rsidP="00E47FCA">
      <w:pPr>
        <w:spacing w:before="100" w:beforeAutospacing="1" w:after="100" w:afterAutospacing="1" w:line="240" w:lineRule="auto"/>
        <w:ind w:left="720"/>
        <w:contextualSpacing/>
        <w:rPr>
          <w:rFonts w:eastAsia="Times New Roman" w:cs="Times New Roman"/>
          <w:color w:val="000000" w:themeColor="text1"/>
          <w:szCs w:val="24"/>
        </w:rPr>
      </w:pPr>
      <w:r>
        <w:rPr>
          <w:rFonts w:eastAsia="Times New Roman" w:cs="Times New Roman"/>
          <w:color w:val="000000" w:themeColor="text1"/>
          <w:szCs w:val="24"/>
        </w:rPr>
        <w:t>Lachlan Forrow, MD</w:t>
      </w:r>
    </w:p>
    <w:p w14:paraId="4D8E9859" w14:textId="77777777" w:rsidR="00E47FCA" w:rsidRDefault="00E47FCA" w:rsidP="00E47FCA">
      <w:pPr>
        <w:spacing w:before="100" w:beforeAutospacing="1" w:after="100" w:afterAutospacing="1" w:line="240" w:lineRule="auto"/>
        <w:ind w:left="720"/>
        <w:contextualSpacing/>
        <w:rPr>
          <w:rFonts w:eastAsia="Times New Roman" w:cs="Times New Roman"/>
          <w:color w:val="000000" w:themeColor="text1"/>
          <w:szCs w:val="24"/>
        </w:rPr>
      </w:pPr>
      <w:r>
        <w:rPr>
          <w:rFonts w:eastAsia="Times New Roman" w:cs="Times New Roman"/>
          <w:color w:val="000000" w:themeColor="text1"/>
          <w:szCs w:val="24"/>
        </w:rPr>
        <w:t>Pamela Goodwin, Stop Bullying Association</w:t>
      </w:r>
    </w:p>
    <w:p w14:paraId="7DDFD61A" w14:textId="23E59B3C" w:rsidR="003F0DF2" w:rsidRDefault="003F0DF2" w:rsidP="00E47FCA">
      <w:pPr>
        <w:spacing w:before="100" w:beforeAutospacing="1" w:after="100" w:afterAutospacing="1" w:line="240" w:lineRule="auto"/>
        <w:ind w:left="720"/>
        <w:contextualSpacing/>
        <w:rPr>
          <w:rFonts w:eastAsia="Times New Roman" w:cs="Times New Roman"/>
          <w:color w:val="000000" w:themeColor="text1"/>
          <w:szCs w:val="24"/>
        </w:rPr>
      </w:pPr>
      <w:r>
        <w:rPr>
          <w:rFonts w:eastAsia="Times New Roman" w:cs="Times New Roman"/>
          <w:color w:val="000000" w:themeColor="text1"/>
          <w:szCs w:val="24"/>
        </w:rPr>
        <w:t>Carolyn Ingles</w:t>
      </w:r>
    </w:p>
    <w:p w14:paraId="72776924" w14:textId="6792980B" w:rsidR="00E47FCA" w:rsidRDefault="00E47FCA" w:rsidP="00E47FCA">
      <w:pPr>
        <w:spacing w:before="100" w:beforeAutospacing="1" w:after="100" w:afterAutospacing="1" w:line="240" w:lineRule="auto"/>
        <w:ind w:left="720"/>
        <w:contextualSpacing/>
        <w:rPr>
          <w:rFonts w:eastAsia="Times New Roman" w:cs="Times New Roman"/>
          <w:color w:val="000000" w:themeColor="text1"/>
          <w:szCs w:val="24"/>
        </w:rPr>
      </w:pPr>
      <w:r>
        <w:rPr>
          <w:rFonts w:eastAsia="Times New Roman" w:cs="Times New Roman"/>
          <w:color w:val="000000" w:themeColor="text1"/>
          <w:szCs w:val="24"/>
        </w:rPr>
        <w:t>Paul J. Lanzikos</w:t>
      </w:r>
    </w:p>
    <w:p w14:paraId="6A098FF9" w14:textId="77777777" w:rsidR="00E47FCA" w:rsidRDefault="00E47FCA" w:rsidP="00E47FCA">
      <w:pPr>
        <w:spacing w:before="100" w:beforeAutospacing="1" w:after="100" w:afterAutospacing="1" w:line="240" w:lineRule="auto"/>
        <w:ind w:left="720"/>
        <w:contextualSpacing/>
        <w:rPr>
          <w:rFonts w:eastAsia="Times New Roman" w:cs="Times New Roman"/>
          <w:color w:val="000000" w:themeColor="text1"/>
          <w:szCs w:val="24"/>
        </w:rPr>
      </w:pPr>
      <w:r>
        <w:rPr>
          <w:rFonts w:eastAsia="Times New Roman" w:cs="Times New Roman"/>
          <w:color w:val="000000" w:themeColor="text1"/>
          <w:szCs w:val="24"/>
        </w:rPr>
        <w:t>James A. Lomastro, PhD</w:t>
      </w:r>
    </w:p>
    <w:p w14:paraId="0BE53414" w14:textId="77777777" w:rsidR="00E47FCA" w:rsidRDefault="00E47FCA" w:rsidP="00E47FCA">
      <w:pPr>
        <w:spacing w:before="100" w:beforeAutospacing="1" w:after="100" w:afterAutospacing="1" w:line="240" w:lineRule="auto"/>
        <w:ind w:left="720"/>
        <w:contextualSpacing/>
        <w:rPr>
          <w:rFonts w:eastAsia="Times New Roman" w:cs="Times New Roman"/>
          <w:color w:val="000000" w:themeColor="text1"/>
          <w:szCs w:val="24"/>
        </w:rPr>
      </w:pPr>
      <w:r>
        <w:rPr>
          <w:rFonts w:eastAsia="Times New Roman" w:cs="Times New Roman"/>
          <w:color w:val="000000" w:themeColor="text1"/>
          <w:szCs w:val="24"/>
        </w:rPr>
        <w:t>Mike Kennedy, Center for Independent Living</w:t>
      </w:r>
    </w:p>
    <w:p w14:paraId="730B96F7" w14:textId="77777777" w:rsidR="00E47FCA" w:rsidRDefault="00E47FCA" w:rsidP="00E47FCA">
      <w:pPr>
        <w:spacing w:before="100" w:beforeAutospacing="1" w:after="100" w:afterAutospacing="1" w:line="240" w:lineRule="auto"/>
        <w:ind w:left="720"/>
        <w:contextualSpacing/>
        <w:rPr>
          <w:rFonts w:eastAsia="Times New Roman" w:cs="Times New Roman"/>
          <w:color w:val="000000" w:themeColor="text1"/>
          <w:szCs w:val="24"/>
        </w:rPr>
      </w:pPr>
      <w:r>
        <w:rPr>
          <w:rFonts w:eastAsia="Times New Roman" w:cs="Times New Roman"/>
          <w:color w:val="000000" w:themeColor="text1"/>
          <w:szCs w:val="24"/>
        </w:rPr>
        <w:t>Richard T. Moore</w:t>
      </w:r>
    </w:p>
    <w:p w14:paraId="1EAB684F" w14:textId="77777777" w:rsidR="00E47FCA" w:rsidRDefault="00E47FCA" w:rsidP="00E47FCA">
      <w:pPr>
        <w:spacing w:before="100" w:beforeAutospacing="1" w:after="100" w:afterAutospacing="1" w:line="240" w:lineRule="auto"/>
        <w:ind w:left="720"/>
        <w:contextualSpacing/>
        <w:rPr>
          <w:rFonts w:eastAsia="Times New Roman" w:cs="Times New Roman"/>
          <w:color w:val="000000" w:themeColor="text1"/>
          <w:szCs w:val="24"/>
        </w:rPr>
      </w:pPr>
      <w:r>
        <w:rPr>
          <w:rFonts w:eastAsia="Times New Roman" w:cs="Times New Roman"/>
          <w:color w:val="000000" w:themeColor="text1"/>
          <w:szCs w:val="24"/>
        </w:rPr>
        <w:t>Sandra Allyssa Novack, MBA, MSW</w:t>
      </w:r>
    </w:p>
    <w:p w14:paraId="30CD6BCD" w14:textId="77777777" w:rsidR="00E47FCA" w:rsidRDefault="00E47FCA" w:rsidP="00E47FCA">
      <w:pPr>
        <w:spacing w:before="100" w:beforeAutospacing="1" w:after="100" w:afterAutospacing="1" w:line="240" w:lineRule="auto"/>
        <w:ind w:left="720"/>
        <w:contextualSpacing/>
        <w:rPr>
          <w:rFonts w:eastAsia="Times New Roman" w:cs="Times New Roman"/>
          <w:color w:val="000000" w:themeColor="text1"/>
          <w:szCs w:val="24"/>
        </w:rPr>
      </w:pPr>
      <w:r>
        <w:rPr>
          <w:rFonts w:eastAsia="Times New Roman" w:cs="Times New Roman"/>
          <w:color w:val="000000" w:themeColor="text1"/>
          <w:szCs w:val="24"/>
        </w:rPr>
        <w:t>Paul Spooner, MetroWest Center for Independent Living</w:t>
      </w:r>
    </w:p>
    <w:p w14:paraId="0D8D6D04" w14:textId="77777777" w:rsidR="00E47FCA" w:rsidRDefault="00E47FCA" w:rsidP="00951850"/>
    <w:p w14:paraId="4175A9A4" w14:textId="77777777" w:rsidR="00D6384F" w:rsidRDefault="00D6384F" w:rsidP="00101F6C"/>
    <w:sectPr w:rsidR="00D6384F" w:rsidSect="00D22BC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5FC95" w14:textId="77777777" w:rsidR="00BF28CA" w:rsidRDefault="00BF28CA" w:rsidP="00D22BC6">
      <w:pPr>
        <w:spacing w:after="0" w:line="240" w:lineRule="auto"/>
      </w:pPr>
      <w:r>
        <w:separator/>
      </w:r>
    </w:p>
  </w:endnote>
  <w:endnote w:type="continuationSeparator" w:id="0">
    <w:p w14:paraId="212EDCAF" w14:textId="77777777" w:rsidR="00BF28CA" w:rsidRDefault="00BF28CA" w:rsidP="00D2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461C6" w14:textId="7AB45C97" w:rsidR="00D22BC6" w:rsidRDefault="00E47FCA" w:rsidP="00E47FCA">
    <w:pPr>
      <w:pStyle w:val="Footer"/>
      <w:pBdr>
        <w:top w:val="single" w:sz="4" w:space="1" w:color="auto"/>
      </w:pBdr>
      <w:rPr>
        <w:noProof/>
      </w:rPr>
    </w:pPr>
    <w:r>
      <w:t>Dignity Alliance Massachusetts</w:t>
    </w:r>
    <w:r>
      <w:tab/>
    </w:r>
    <w:r>
      <w:tab/>
      <w:t xml:space="preserve">Page </w:t>
    </w:r>
    <w:r>
      <w:fldChar w:fldCharType="begin"/>
    </w:r>
    <w:r>
      <w:instrText xml:space="preserve"> PAGE   \* MERGEFORMAT </w:instrText>
    </w:r>
    <w:r>
      <w:fldChar w:fldCharType="separate"/>
    </w:r>
    <w:r>
      <w:rPr>
        <w:noProof/>
      </w:rPr>
      <w:t>1</w:t>
    </w:r>
    <w:r>
      <w:rPr>
        <w:noProof/>
      </w:rPr>
      <w:fldChar w:fldCharType="end"/>
    </w:r>
  </w:p>
  <w:p w14:paraId="74510F01" w14:textId="5A28AA03" w:rsidR="00E47FCA" w:rsidRDefault="00E47FCA" w:rsidP="00E47FCA">
    <w:pPr>
      <w:pStyle w:val="Footer"/>
      <w:pBdr>
        <w:top w:val="single" w:sz="4" w:space="1" w:color="auto"/>
      </w:pBdr>
      <w:rPr>
        <w:noProof/>
      </w:rPr>
    </w:pPr>
    <w:r w:rsidRPr="00E47FCA">
      <w:rPr>
        <w:noProof/>
      </w:rPr>
      <w:t>Comments regarding the Renewal of the 1115 Waiver</w:t>
    </w:r>
  </w:p>
  <w:p w14:paraId="650F1BF7" w14:textId="77777777" w:rsidR="00E47FCA" w:rsidRDefault="00E47FCA" w:rsidP="00E47FCA">
    <w:pPr>
      <w:pStyle w:val="Footer"/>
      <w:pBdr>
        <w:top w:val="single" w:sz="4" w:space="1" w:color="auto"/>
      </w:pBdr>
      <w:rPr>
        <w:noProof/>
      </w:rPr>
    </w:pPr>
  </w:p>
  <w:p w14:paraId="0CA03780" w14:textId="77777777" w:rsidR="00E47FCA" w:rsidRDefault="00E47FCA" w:rsidP="00E47FCA">
    <w:pPr>
      <w:pStyle w:val="Footer"/>
    </w:pPr>
  </w:p>
  <w:p w14:paraId="37C7AEC4" w14:textId="77777777" w:rsidR="00D22BC6" w:rsidRDefault="00D22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D4DA3" w14:textId="77777777" w:rsidR="00BF28CA" w:rsidRDefault="00BF28CA" w:rsidP="00D22BC6">
      <w:pPr>
        <w:spacing w:after="0" w:line="240" w:lineRule="auto"/>
      </w:pPr>
      <w:r>
        <w:separator/>
      </w:r>
    </w:p>
  </w:footnote>
  <w:footnote w:type="continuationSeparator" w:id="0">
    <w:p w14:paraId="1E1BF107" w14:textId="77777777" w:rsidR="00BF28CA" w:rsidRDefault="00BF28CA" w:rsidP="00D22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55944"/>
    <w:multiLevelType w:val="hybridMultilevel"/>
    <w:tmpl w:val="7CAC5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D02654"/>
    <w:multiLevelType w:val="hybridMultilevel"/>
    <w:tmpl w:val="4C2A4448"/>
    <w:lvl w:ilvl="0" w:tplc="A8124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75B66"/>
    <w:multiLevelType w:val="hybridMultilevel"/>
    <w:tmpl w:val="3238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24"/>
    <w:rsid w:val="00002622"/>
    <w:rsid w:val="00021B08"/>
    <w:rsid w:val="000254EC"/>
    <w:rsid w:val="000318C4"/>
    <w:rsid w:val="00050A9C"/>
    <w:rsid w:val="00101F6C"/>
    <w:rsid w:val="00106CFB"/>
    <w:rsid w:val="0012354D"/>
    <w:rsid w:val="001270DD"/>
    <w:rsid w:val="00160FF7"/>
    <w:rsid w:val="0019130D"/>
    <w:rsid w:val="001A075E"/>
    <w:rsid w:val="00200052"/>
    <w:rsid w:val="00207638"/>
    <w:rsid w:val="002376BD"/>
    <w:rsid w:val="00244E66"/>
    <w:rsid w:val="00245D66"/>
    <w:rsid w:val="00247CE1"/>
    <w:rsid w:val="00296CC2"/>
    <w:rsid w:val="002D452A"/>
    <w:rsid w:val="0030269B"/>
    <w:rsid w:val="00312719"/>
    <w:rsid w:val="003254D9"/>
    <w:rsid w:val="00345677"/>
    <w:rsid w:val="0035373B"/>
    <w:rsid w:val="00395A4B"/>
    <w:rsid w:val="003B7C64"/>
    <w:rsid w:val="003F0DF2"/>
    <w:rsid w:val="003F7C41"/>
    <w:rsid w:val="00451C1E"/>
    <w:rsid w:val="004A1E13"/>
    <w:rsid w:val="004B1714"/>
    <w:rsid w:val="004B3A79"/>
    <w:rsid w:val="004F6A17"/>
    <w:rsid w:val="005074E2"/>
    <w:rsid w:val="00533D3B"/>
    <w:rsid w:val="00540F97"/>
    <w:rsid w:val="00545845"/>
    <w:rsid w:val="00547D3E"/>
    <w:rsid w:val="005646B5"/>
    <w:rsid w:val="0057678E"/>
    <w:rsid w:val="00590B02"/>
    <w:rsid w:val="0059165D"/>
    <w:rsid w:val="005E047C"/>
    <w:rsid w:val="0061748C"/>
    <w:rsid w:val="006363D0"/>
    <w:rsid w:val="00661F8C"/>
    <w:rsid w:val="006870EA"/>
    <w:rsid w:val="00696D89"/>
    <w:rsid w:val="007251ED"/>
    <w:rsid w:val="0074588B"/>
    <w:rsid w:val="00751A9E"/>
    <w:rsid w:val="007904A1"/>
    <w:rsid w:val="007B1EEA"/>
    <w:rsid w:val="007C395B"/>
    <w:rsid w:val="008429BB"/>
    <w:rsid w:val="0086060D"/>
    <w:rsid w:val="008728E2"/>
    <w:rsid w:val="008A1324"/>
    <w:rsid w:val="008A2568"/>
    <w:rsid w:val="008B3698"/>
    <w:rsid w:val="008C7C43"/>
    <w:rsid w:val="008F20FA"/>
    <w:rsid w:val="00903115"/>
    <w:rsid w:val="009279C6"/>
    <w:rsid w:val="00930F10"/>
    <w:rsid w:val="00951850"/>
    <w:rsid w:val="009532E9"/>
    <w:rsid w:val="0096586D"/>
    <w:rsid w:val="0097036F"/>
    <w:rsid w:val="00975B05"/>
    <w:rsid w:val="00996832"/>
    <w:rsid w:val="009A6087"/>
    <w:rsid w:val="009F235E"/>
    <w:rsid w:val="00A152DC"/>
    <w:rsid w:val="00A44C07"/>
    <w:rsid w:val="00A55A03"/>
    <w:rsid w:val="00AD3ACF"/>
    <w:rsid w:val="00B23332"/>
    <w:rsid w:val="00BC7353"/>
    <w:rsid w:val="00BD3F1D"/>
    <w:rsid w:val="00BF28CA"/>
    <w:rsid w:val="00C71355"/>
    <w:rsid w:val="00CA6F31"/>
    <w:rsid w:val="00CF22B1"/>
    <w:rsid w:val="00D13573"/>
    <w:rsid w:val="00D22BC6"/>
    <w:rsid w:val="00D302B5"/>
    <w:rsid w:val="00D6384F"/>
    <w:rsid w:val="00D808D1"/>
    <w:rsid w:val="00D8416D"/>
    <w:rsid w:val="00DE61C7"/>
    <w:rsid w:val="00E37D15"/>
    <w:rsid w:val="00E41971"/>
    <w:rsid w:val="00E47FCA"/>
    <w:rsid w:val="00E55934"/>
    <w:rsid w:val="00E80595"/>
    <w:rsid w:val="00EA2CD2"/>
    <w:rsid w:val="00EA7BA9"/>
    <w:rsid w:val="00EB16E2"/>
    <w:rsid w:val="00EB7266"/>
    <w:rsid w:val="00EC053A"/>
    <w:rsid w:val="00EC3A74"/>
    <w:rsid w:val="00ED6F54"/>
    <w:rsid w:val="00F0402B"/>
    <w:rsid w:val="00F227E4"/>
    <w:rsid w:val="00FA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70C03"/>
  <w15:docId w15:val="{6A1D9EB8-2E9C-4131-B91E-D1B2823A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4A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5B"/>
    <w:pPr>
      <w:ind w:left="720"/>
      <w:contextualSpacing/>
    </w:pPr>
  </w:style>
  <w:style w:type="paragraph" w:styleId="BalloonText">
    <w:name w:val="Balloon Text"/>
    <w:basedOn w:val="Normal"/>
    <w:link w:val="BalloonTextChar"/>
    <w:uiPriority w:val="99"/>
    <w:semiHidden/>
    <w:unhideWhenUsed/>
    <w:rsid w:val="00021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08"/>
    <w:rPr>
      <w:rFonts w:ascii="Tahoma" w:hAnsi="Tahoma" w:cs="Tahoma"/>
      <w:sz w:val="16"/>
      <w:szCs w:val="16"/>
    </w:rPr>
  </w:style>
  <w:style w:type="paragraph" w:styleId="Header">
    <w:name w:val="header"/>
    <w:basedOn w:val="Normal"/>
    <w:link w:val="HeaderChar"/>
    <w:uiPriority w:val="99"/>
    <w:unhideWhenUsed/>
    <w:rsid w:val="00D22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BC6"/>
    <w:rPr>
      <w:rFonts w:ascii="Times New Roman" w:hAnsi="Times New Roman"/>
      <w:sz w:val="24"/>
    </w:rPr>
  </w:style>
  <w:style w:type="paragraph" w:styleId="Footer">
    <w:name w:val="footer"/>
    <w:basedOn w:val="Normal"/>
    <w:link w:val="FooterChar"/>
    <w:uiPriority w:val="99"/>
    <w:unhideWhenUsed/>
    <w:rsid w:val="00D22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BC6"/>
    <w:rPr>
      <w:rFonts w:ascii="Times New Roman" w:hAnsi="Times New Roman"/>
      <w:sz w:val="24"/>
    </w:rPr>
  </w:style>
  <w:style w:type="character" w:styleId="CommentReference">
    <w:name w:val="annotation reference"/>
    <w:basedOn w:val="DefaultParagraphFont"/>
    <w:uiPriority w:val="99"/>
    <w:semiHidden/>
    <w:unhideWhenUsed/>
    <w:rsid w:val="000254EC"/>
    <w:rPr>
      <w:sz w:val="16"/>
      <w:szCs w:val="16"/>
    </w:rPr>
  </w:style>
  <w:style w:type="paragraph" w:styleId="CommentText">
    <w:name w:val="annotation text"/>
    <w:basedOn w:val="Normal"/>
    <w:link w:val="CommentTextChar"/>
    <w:uiPriority w:val="99"/>
    <w:semiHidden/>
    <w:unhideWhenUsed/>
    <w:rsid w:val="000254EC"/>
    <w:pPr>
      <w:spacing w:line="240" w:lineRule="auto"/>
    </w:pPr>
    <w:rPr>
      <w:sz w:val="20"/>
      <w:szCs w:val="20"/>
    </w:rPr>
  </w:style>
  <w:style w:type="character" w:customStyle="1" w:styleId="CommentTextChar">
    <w:name w:val="Comment Text Char"/>
    <w:basedOn w:val="DefaultParagraphFont"/>
    <w:link w:val="CommentText"/>
    <w:uiPriority w:val="99"/>
    <w:semiHidden/>
    <w:rsid w:val="000254E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54EC"/>
    <w:rPr>
      <w:b/>
      <w:bCs/>
    </w:rPr>
  </w:style>
  <w:style w:type="character" w:customStyle="1" w:styleId="CommentSubjectChar">
    <w:name w:val="Comment Subject Char"/>
    <w:basedOn w:val="CommentTextChar"/>
    <w:link w:val="CommentSubject"/>
    <w:uiPriority w:val="99"/>
    <w:semiHidden/>
    <w:rsid w:val="000254E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Kaplan</dc:creator>
  <cp:lastModifiedBy>Paul Lanzikos</cp:lastModifiedBy>
  <cp:revision>3</cp:revision>
  <cp:lastPrinted>2021-02-12T04:19:00Z</cp:lastPrinted>
  <dcterms:created xsi:type="dcterms:W3CDTF">2021-02-22T16:42:00Z</dcterms:created>
  <dcterms:modified xsi:type="dcterms:W3CDTF">2021-03-05T19:59:00Z</dcterms:modified>
</cp:coreProperties>
</file>